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B88C5" w14:textId="63ED4CC1" w:rsidR="00F8014B" w:rsidRPr="00A97DCC" w:rsidRDefault="00F8014B" w:rsidP="00072F8D">
      <w:pPr>
        <w:spacing w:after="0" w:line="240" w:lineRule="auto"/>
        <w:ind w:left="2410"/>
        <w:jc w:val="right"/>
        <w:outlineLvl w:val="0"/>
        <w:rPr>
          <w:rFonts w:ascii="Bookman Old Style" w:hAnsi="Bookman Old Style"/>
          <w:i/>
          <w:iCs/>
          <w:noProof/>
          <w:sz w:val="16"/>
          <w:szCs w:val="16"/>
          <w:lang w:val="en-GB"/>
        </w:rPr>
      </w:pPr>
      <w:r w:rsidRPr="00F8014B">
        <w:rPr>
          <w:rFonts w:ascii="Bookman Old Style" w:hAnsi="Bookman Old Style"/>
          <w:i/>
          <w:iCs/>
          <w:noProof/>
          <w:sz w:val="16"/>
          <w:szCs w:val="16"/>
          <w:lang w:val="id-ID"/>
        </w:rPr>
        <w:t xml:space="preserve">Unisan Law Review Vol </w:t>
      </w:r>
      <w:r w:rsidR="00CF6835">
        <w:rPr>
          <w:rFonts w:ascii="Bookman Old Style" w:hAnsi="Bookman Old Style"/>
          <w:i/>
          <w:iCs/>
          <w:noProof/>
          <w:sz w:val="16"/>
          <w:szCs w:val="16"/>
          <w:lang w:val="en-GB"/>
        </w:rPr>
        <w:t>9</w:t>
      </w:r>
      <w:r w:rsidRPr="00F8014B">
        <w:rPr>
          <w:rFonts w:ascii="Bookman Old Style" w:hAnsi="Bookman Old Style"/>
          <w:i/>
          <w:iCs/>
          <w:noProof/>
          <w:sz w:val="16"/>
          <w:szCs w:val="16"/>
          <w:lang w:val="id-ID"/>
        </w:rPr>
        <w:t xml:space="preserve"> No. </w:t>
      </w:r>
      <w:r w:rsidR="00CF6835">
        <w:rPr>
          <w:rFonts w:ascii="Bookman Old Style" w:hAnsi="Bookman Old Style"/>
          <w:i/>
          <w:iCs/>
          <w:noProof/>
          <w:sz w:val="16"/>
          <w:szCs w:val="16"/>
          <w:lang w:val="en-GB"/>
        </w:rPr>
        <w:t>5</w:t>
      </w:r>
      <w:r w:rsidRPr="00F8014B">
        <w:rPr>
          <w:rFonts w:ascii="Bookman Old Style" w:hAnsi="Bookman Old Style"/>
          <w:i/>
          <w:iCs/>
          <w:noProof/>
          <w:sz w:val="16"/>
          <w:szCs w:val="16"/>
          <w:lang w:val="id-ID"/>
        </w:rPr>
        <w:t xml:space="preserve"> </w:t>
      </w:r>
      <w:r w:rsidR="00CF6835">
        <w:rPr>
          <w:rFonts w:ascii="Bookman Old Style" w:hAnsi="Bookman Old Style"/>
          <w:i/>
          <w:iCs/>
          <w:noProof/>
          <w:sz w:val="16"/>
          <w:szCs w:val="16"/>
        </w:rPr>
        <w:t>Oktober</w:t>
      </w:r>
      <w:r w:rsidRPr="00F8014B">
        <w:rPr>
          <w:rFonts w:ascii="Bookman Old Style" w:hAnsi="Bookman Old Style"/>
          <w:i/>
          <w:iCs/>
          <w:noProof/>
          <w:sz w:val="16"/>
          <w:szCs w:val="16"/>
          <w:lang w:val="id-ID"/>
        </w:rPr>
        <w:t xml:space="preserve"> 202</w:t>
      </w:r>
      <w:r w:rsidR="00AE3F67">
        <w:rPr>
          <w:rFonts w:ascii="Bookman Old Style" w:hAnsi="Bookman Old Style"/>
          <w:i/>
          <w:iCs/>
          <w:noProof/>
          <w:sz w:val="16"/>
          <w:szCs w:val="16"/>
        </w:rPr>
        <w:t>4</w:t>
      </w:r>
      <w:r w:rsidRPr="00F8014B">
        <w:rPr>
          <w:rFonts w:ascii="Bookman Old Style" w:hAnsi="Bookman Old Style"/>
          <w:i/>
          <w:iCs/>
          <w:noProof/>
          <w:sz w:val="16"/>
          <w:szCs w:val="16"/>
          <w:lang w:val="id-ID"/>
        </w:rPr>
        <w:t xml:space="preserve"> Hal </w:t>
      </w:r>
      <w:r w:rsidR="00BF3313">
        <w:rPr>
          <w:rFonts w:ascii="Bookman Old Style" w:hAnsi="Bookman Old Style"/>
          <w:i/>
          <w:iCs/>
          <w:noProof/>
          <w:sz w:val="16"/>
          <w:szCs w:val="16"/>
          <w:lang w:val="id-ID"/>
        </w:rPr>
        <w:t>4</w:t>
      </w:r>
      <w:r w:rsidR="00AE3F67">
        <w:rPr>
          <w:rFonts w:ascii="Bookman Old Style" w:hAnsi="Bookman Old Style"/>
          <w:i/>
          <w:iCs/>
          <w:noProof/>
          <w:sz w:val="16"/>
          <w:szCs w:val="16"/>
        </w:rPr>
        <w:t>1</w:t>
      </w:r>
      <w:r w:rsidRPr="00F8014B">
        <w:rPr>
          <w:rFonts w:ascii="Bookman Old Style" w:hAnsi="Bookman Old Style"/>
          <w:i/>
          <w:iCs/>
          <w:noProof/>
          <w:sz w:val="16"/>
          <w:szCs w:val="16"/>
          <w:lang w:val="id-ID"/>
        </w:rPr>
        <w:t>-</w:t>
      </w:r>
      <w:r w:rsidR="00BF3313">
        <w:rPr>
          <w:rFonts w:ascii="Bookman Old Style" w:hAnsi="Bookman Old Style"/>
          <w:i/>
          <w:iCs/>
          <w:noProof/>
          <w:sz w:val="16"/>
          <w:szCs w:val="16"/>
          <w:lang w:val="id-ID"/>
        </w:rPr>
        <w:t>54</w:t>
      </w:r>
    </w:p>
    <w:tbl>
      <w:tblPr>
        <w:tblStyle w:val="TableGrid"/>
        <w:tblW w:w="3685" w:type="dxa"/>
        <w:tblInd w:w="55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1843"/>
      </w:tblGrid>
      <w:tr w:rsidR="00F8014B" w:rsidRPr="00F8014B" w14:paraId="734C4BB4" w14:textId="77777777" w:rsidTr="00F8014B">
        <w:tc>
          <w:tcPr>
            <w:tcW w:w="1842" w:type="dxa"/>
            <w:tcBorders>
              <w:right w:val="single" w:sz="4" w:space="0" w:color="auto"/>
            </w:tcBorders>
          </w:tcPr>
          <w:p w14:paraId="5D8B7BF1" w14:textId="3A404FF9" w:rsidR="00F8014B" w:rsidRPr="00F8014B" w:rsidRDefault="00F8014B" w:rsidP="00F8014B">
            <w:pPr>
              <w:jc w:val="right"/>
              <w:rPr>
                <w:rFonts w:ascii="Bookman Old Style" w:hAnsi="Bookman Old Style"/>
                <w:i/>
                <w:iCs/>
                <w:noProof/>
                <w:sz w:val="16"/>
                <w:szCs w:val="16"/>
                <w:lang w:val="id-ID"/>
              </w:rPr>
            </w:pPr>
            <w:r w:rsidRPr="00F8014B">
              <w:rPr>
                <w:rFonts w:ascii="Bookman Old Style" w:hAnsi="Bookman Old Style"/>
                <w:i/>
                <w:iCs/>
                <w:noProof/>
                <w:sz w:val="16"/>
                <w:szCs w:val="16"/>
                <w:lang w:val="id-ID"/>
              </w:rPr>
              <w:t>E-</w:t>
            </w:r>
            <w:r w:rsidR="00A97DCC" w:rsidRPr="00F8014B">
              <w:rPr>
                <w:rFonts w:ascii="Bookman Old Style" w:hAnsi="Bookman Old Style"/>
                <w:i/>
                <w:iCs/>
                <w:noProof/>
                <w:sz w:val="16"/>
                <w:szCs w:val="16"/>
                <w:lang w:val="id-ID"/>
              </w:rPr>
              <w:t xml:space="preserve">ISSN </w:t>
            </w:r>
            <w:r w:rsidRPr="00F8014B">
              <w:rPr>
                <w:rFonts w:ascii="Bookman Old Style" w:hAnsi="Bookman Old Style"/>
                <w:i/>
                <w:iCs/>
                <w:noProof/>
                <w:sz w:val="16"/>
                <w:szCs w:val="16"/>
                <w:lang w:val="id-ID"/>
              </w:rPr>
              <w:t>: 2549-3744</w:t>
            </w:r>
          </w:p>
        </w:tc>
        <w:tc>
          <w:tcPr>
            <w:tcW w:w="1843" w:type="dxa"/>
            <w:tcBorders>
              <w:left w:val="single" w:sz="4" w:space="0" w:color="auto"/>
            </w:tcBorders>
          </w:tcPr>
          <w:p w14:paraId="4B1EAFD5" w14:textId="1C9A974A" w:rsidR="00F8014B" w:rsidRPr="00F8014B" w:rsidRDefault="00F8014B" w:rsidP="00F8014B">
            <w:pPr>
              <w:rPr>
                <w:rFonts w:ascii="Bookman Old Style" w:hAnsi="Bookman Old Style"/>
                <w:i/>
                <w:iCs/>
                <w:noProof/>
                <w:sz w:val="16"/>
                <w:szCs w:val="16"/>
                <w:lang w:val="id-ID"/>
              </w:rPr>
            </w:pPr>
            <w:r w:rsidRPr="00F8014B">
              <w:rPr>
                <w:rFonts w:ascii="Bookman Old Style" w:hAnsi="Bookman Old Style"/>
                <w:i/>
                <w:iCs/>
                <w:noProof/>
                <w:sz w:val="16"/>
                <w:szCs w:val="16"/>
                <w:lang w:val="id-ID"/>
              </w:rPr>
              <w:t>P-</w:t>
            </w:r>
            <w:r w:rsidR="00A97DCC" w:rsidRPr="00F8014B">
              <w:rPr>
                <w:rFonts w:ascii="Bookman Old Style" w:hAnsi="Bookman Old Style"/>
                <w:i/>
                <w:iCs/>
                <w:noProof/>
                <w:sz w:val="16"/>
                <w:szCs w:val="16"/>
                <w:lang w:val="id-ID"/>
              </w:rPr>
              <w:t xml:space="preserve">ISSN </w:t>
            </w:r>
            <w:r w:rsidRPr="00F8014B">
              <w:rPr>
                <w:rFonts w:ascii="Bookman Old Style" w:hAnsi="Bookman Old Style"/>
                <w:i/>
                <w:iCs/>
                <w:noProof/>
                <w:sz w:val="16"/>
                <w:szCs w:val="16"/>
                <w:lang w:val="id-ID"/>
              </w:rPr>
              <w:t>: 2549-2462</w:t>
            </w:r>
          </w:p>
        </w:tc>
      </w:tr>
    </w:tbl>
    <w:p w14:paraId="5DB9E007" w14:textId="2F5C2D7E" w:rsidR="00F8014B" w:rsidRPr="00F8014B" w:rsidRDefault="00F8014B" w:rsidP="00F8014B">
      <w:pPr>
        <w:ind w:left="2410"/>
        <w:jc w:val="right"/>
        <w:rPr>
          <w:lang w:val="en-GB"/>
        </w:rPr>
      </w:pPr>
    </w:p>
    <w:p w14:paraId="407E1F8E" w14:textId="5FD86FD8" w:rsidR="00EC099A" w:rsidRPr="00AC4243" w:rsidRDefault="00166834" w:rsidP="00072F8D">
      <w:pPr>
        <w:ind w:left="2410"/>
        <w:outlineLvl w:val="0"/>
        <w:rPr>
          <w:color w:val="164A41"/>
          <w:lang w:val="id-ID"/>
        </w:rPr>
      </w:pPr>
      <w:r>
        <w:rPr>
          <w:rFonts w:ascii="Bookman Old Style" w:hAnsi="Bookman Old Style"/>
          <w:i/>
          <w:iCs/>
          <w:noProof/>
          <w:sz w:val="16"/>
          <w:szCs w:val="16"/>
          <w:lang w:val="id-ID"/>
        </w:rPr>
        <w:drawing>
          <wp:anchor distT="0" distB="0" distL="114300" distR="114300" simplePos="0" relativeHeight="251663360" behindDoc="0" locked="0" layoutInCell="1" allowOverlap="1" wp14:anchorId="2549E304" wp14:editId="736BA96E">
            <wp:simplePos x="0" y="0"/>
            <wp:positionH relativeFrom="column">
              <wp:posOffset>-498764</wp:posOffset>
            </wp:positionH>
            <wp:positionV relativeFrom="paragraph">
              <wp:posOffset>176769</wp:posOffset>
            </wp:positionV>
            <wp:extent cx="1638300" cy="2421255"/>
            <wp:effectExtent l="0" t="0" r="0" b="0"/>
            <wp:wrapNone/>
            <wp:docPr id="5448233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23330" name="Picture 54482333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2979" cy="2428170"/>
                    </a:xfrm>
                    <a:prstGeom prst="rect">
                      <a:avLst/>
                    </a:prstGeom>
                  </pic:spPr>
                </pic:pic>
              </a:graphicData>
            </a:graphic>
            <wp14:sizeRelH relativeFrom="margin">
              <wp14:pctWidth>0</wp14:pctWidth>
            </wp14:sizeRelH>
            <wp14:sizeRelV relativeFrom="margin">
              <wp14:pctHeight>0</wp14:pctHeight>
            </wp14:sizeRelV>
          </wp:anchor>
        </w:drawing>
      </w:r>
      <w:r w:rsidR="00AE3F67">
        <w:rPr>
          <w:noProof/>
          <w:lang w:val="id-ID"/>
        </w:rPr>
        <w:drawing>
          <wp:anchor distT="0" distB="0" distL="114300" distR="114300" simplePos="0" relativeHeight="251662336" behindDoc="0" locked="0" layoutInCell="1" allowOverlap="1" wp14:anchorId="488831C3" wp14:editId="7795FAC3">
            <wp:simplePos x="0" y="0"/>
            <wp:positionH relativeFrom="column">
              <wp:posOffset>-495300</wp:posOffset>
            </wp:positionH>
            <wp:positionV relativeFrom="paragraph">
              <wp:posOffset>180975</wp:posOffset>
            </wp:positionV>
            <wp:extent cx="1638300" cy="2406044"/>
            <wp:effectExtent l="0" t="0" r="0" b="0"/>
            <wp:wrapNone/>
            <wp:docPr id="179953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539320" name="Picture 17995393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8300" cy="2406044"/>
                    </a:xfrm>
                    <a:prstGeom prst="rect">
                      <a:avLst/>
                    </a:prstGeom>
                  </pic:spPr>
                </pic:pic>
              </a:graphicData>
            </a:graphic>
            <wp14:sizeRelH relativeFrom="margin">
              <wp14:pctWidth>0</wp14:pctWidth>
            </wp14:sizeRelH>
            <wp14:sizeRelV relativeFrom="margin">
              <wp14:pctHeight>0</wp14:pctHeight>
            </wp14:sizeRelV>
          </wp:anchor>
        </w:drawing>
      </w:r>
      <w:r w:rsidR="00565AF2" w:rsidRPr="00AC4243">
        <w:rPr>
          <w:color w:val="164A41"/>
          <w:lang w:val="id-ID"/>
        </w:rPr>
        <w:t>HUKUM</w:t>
      </w:r>
      <w:r w:rsidR="00F8014B" w:rsidRPr="00AC4243">
        <w:rPr>
          <w:color w:val="164A41"/>
          <w:lang w:val="id-ID"/>
        </w:rPr>
        <w:t xml:space="preserve"> | RESEARCH ARTICLE </w:t>
      </w:r>
      <w:r w:rsidR="00B51571" w:rsidRPr="00AC4243">
        <w:rPr>
          <w:noProof/>
          <w:lang w:val="id-ID"/>
        </w:rPr>
        <w:t xml:space="preserve"> </w:t>
      </w:r>
      <w:r w:rsidR="00F8014B" w:rsidRPr="00AC4243">
        <w:rPr>
          <w:noProof/>
          <w:lang w:val="id-ID"/>
        </w:rPr>
        <mc:AlternateContent>
          <mc:Choice Requires="wpg">
            <w:drawing>
              <wp:anchor distT="0" distB="0" distL="114300" distR="114300" simplePos="0" relativeHeight="251659264" behindDoc="0" locked="0" layoutInCell="1" hidden="0" allowOverlap="1" wp14:anchorId="3972E7EC" wp14:editId="083816AA">
                <wp:simplePos x="0" y="0"/>
                <wp:positionH relativeFrom="column">
                  <wp:posOffset>1371600</wp:posOffset>
                </wp:positionH>
                <wp:positionV relativeFrom="paragraph">
                  <wp:posOffset>25400</wp:posOffset>
                </wp:positionV>
                <wp:extent cx="12700" cy="3971925"/>
                <wp:effectExtent l="0" t="0" r="0" b="0"/>
                <wp:wrapNone/>
                <wp:docPr id="274" name="Konektor Panah Lurus 274"/>
                <wp:cNvGraphicFramePr/>
                <a:graphic xmlns:a="http://schemas.openxmlformats.org/drawingml/2006/main">
                  <a:graphicData uri="http://schemas.microsoft.com/office/word/2010/wordprocessingShape">
                    <wps:wsp>
                      <wps:cNvCnPr/>
                      <wps:spPr>
                        <a:xfrm>
                          <a:off x="5346000" y="1794038"/>
                          <a:ext cx="0" cy="3971925"/>
                        </a:xfrm>
                        <a:prstGeom prst="straightConnector1">
                          <a:avLst/>
                        </a:prstGeom>
                        <a:noFill/>
                        <a:ln w="12700" cap="flat" cmpd="sng">
                          <a:solidFill>
                            <a:srgbClr val="164A41"/>
                          </a:solidFill>
                          <a:prstDash val="solid"/>
                          <a:miter lim="800000"/>
                          <a:headEnd type="none" w="sm" len="sm"/>
                          <a:tailEnd type="none" w="sm" len="sm"/>
                        </a:ln>
                      </wps:spPr>
                      <wps:bodyPr/>
                    </wps:wsp>
                  </a:graphicData>
                </a:graphic>
              </wp:anchor>
            </w:drawing>
          </mc:Choice>
          <mc:Fallback xmlns:mo="http://schemas.microsoft.com/office/mac/office/2008/main" xmlns:mv="urn:schemas-microsoft-com:mac:v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1371600</wp:posOffset>
                </wp:positionH>
                <wp:positionV relativeFrom="paragraph">
                  <wp:posOffset>25400</wp:posOffset>
                </wp:positionV>
                <wp:extent cx="12700" cy="3971925"/>
                <wp:effectExtent b="0" l="0" r="0" t="0"/>
                <wp:wrapNone/>
                <wp:docPr id="274"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2700" cy="3971925"/>
                        </a:xfrm>
                        <a:prstGeom prst="rect"/>
                        <a:ln/>
                      </pic:spPr>
                    </pic:pic>
                  </a:graphicData>
                </a:graphic>
              </wp:anchor>
            </w:drawing>
          </mc:Fallback>
        </mc:AlternateContent>
      </w:r>
    </w:p>
    <w:p w14:paraId="4886559B" w14:textId="16229492" w:rsidR="00B0214E" w:rsidRPr="00B0214E" w:rsidRDefault="00B0214E" w:rsidP="00B0214E">
      <w:pPr>
        <w:spacing w:before="240" w:line="360" w:lineRule="auto"/>
        <w:ind w:left="2410"/>
        <w:jc w:val="both"/>
        <w:outlineLvl w:val="0"/>
        <w:rPr>
          <w:rFonts w:ascii="Times New Roman" w:hAnsi="Times New Roman" w:cs="Times New Roman"/>
          <w:b/>
          <w:i/>
          <w:sz w:val="24"/>
          <w:szCs w:val="24"/>
          <w:lang w:val="en-GB"/>
        </w:rPr>
      </w:pPr>
      <w:r w:rsidRPr="00B0214E">
        <w:rPr>
          <w:rFonts w:ascii="Times New Roman" w:hAnsi="Times New Roman" w:cs="Times New Roman"/>
          <w:b/>
          <w:i/>
          <w:sz w:val="24"/>
          <w:szCs w:val="24"/>
          <w:lang w:val="en-GB"/>
        </w:rPr>
        <w:t xml:space="preserve">PERLINDUNGAN HUKUM TUNJANGAN HARI RAYA PEKERJA YANG TIDAK DI BERIKAN OLEH PT </w:t>
      </w:r>
      <w:r>
        <w:rPr>
          <w:rFonts w:ascii="Times New Roman" w:hAnsi="Times New Roman" w:cs="Times New Roman"/>
          <w:b/>
          <w:i/>
          <w:sz w:val="24"/>
          <w:szCs w:val="24"/>
          <w:lang w:val="en-GB"/>
        </w:rPr>
        <w:t xml:space="preserve">GUNBUSTER NICKEL INDUSTRI (GNI) </w:t>
      </w:r>
      <w:r w:rsidRPr="00B0214E">
        <w:rPr>
          <w:rFonts w:ascii="Times New Roman" w:hAnsi="Times New Roman" w:cs="Times New Roman"/>
          <w:b/>
          <w:i/>
          <w:sz w:val="24"/>
          <w:szCs w:val="24"/>
          <w:lang w:val="en-GB"/>
        </w:rPr>
        <w:t>SULAWESI TENGAH</w:t>
      </w:r>
    </w:p>
    <w:p w14:paraId="6797A3AC" w14:textId="710CE21A" w:rsidR="00EC099A" w:rsidRPr="006D055D" w:rsidRDefault="00B0214E" w:rsidP="00072F8D">
      <w:pPr>
        <w:spacing w:before="240"/>
        <w:ind w:left="2410"/>
        <w:outlineLvl w:val="0"/>
        <w:rPr>
          <w:rFonts w:ascii="Bookman Old Style" w:eastAsia="Corbel" w:hAnsi="Bookman Old Style" w:cs="Corbel"/>
          <w:b/>
          <w:i/>
          <w:sz w:val="16"/>
          <w:szCs w:val="16"/>
          <w:lang w:val="en-GB"/>
        </w:rPr>
      </w:pPr>
      <w:r>
        <w:rPr>
          <w:rFonts w:ascii="Bookman Old Style" w:eastAsia="Corbel" w:hAnsi="Bookman Old Style" w:cs="Corbel"/>
          <w:b/>
          <w:i/>
          <w:sz w:val="16"/>
          <w:szCs w:val="16"/>
          <w:lang w:val="en-GB"/>
        </w:rPr>
        <w:t>DR Nur Insasni S.H.,MH</w:t>
      </w:r>
      <w:r w:rsidR="00565AF2" w:rsidRPr="00AC4243">
        <w:rPr>
          <w:rFonts w:ascii="Bookman Old Style" w:eastAsia="Corbel" w:hAnsi="Bookman Old Style" w:cs="Corbel"/>
          <w:b/>
          <w:sz w:val="16"/>
          <w:szCs w:val="16"/>
          <w:vertAlign w:val="superscript"/>
          <w:lang w:val="id-ID"/>
        </w:rPr>
        <w:t>1*</w:t>
      </w:r>
      <w:r w:rsidR="00565AF2" w:rsidRPr="00AC4243">
        <w:rPr>
          <w:rFonts w:ascii="Bookman Old Style" w:eastAsia="Corbel" w:hAnsi="Bookman Old Style" w:cs="Corbel"/>
          <w:b/>
          <w:sz w:val="16"/>
          <w:szCs w:val="16"/>
          <w:lang w:val="id-ID"/>
        </w:rPr>
        <w:t xml:space="preserve">, </w:t>
      </w:r>
      <w:r>
        <w:rPr>
          <w:rFonts w:ascii="Bookman Old Style" w:eastAsia="Corbel" w:hAnsi="Bookman Old Style" w:cs="Corbel"/>
          <w:b/>
          <w:i/>
          <w:sz w:val="16"/>
          <w:szCs w:val="16"/>
          <w:lang w:val="en-GB"/>
        </w:rPr>
        <w:t>Aliyas S.H.,MH</w:t>
      </w:r>
      <w:r w:rsidR="00565AF2" w:rsidRPr="00565AF2">
        <w:rPr>
          <w:rFonts w:ascii="Bookman Old Style" w:eastAsia="Corbel" w:hAnsi="Bookman Old Style" w:cs="Corbel"/>
          <w:b/>
          <w:i/>
          <w:sz w:val="16"/>
          <w:szCs w:val="16"/>
          <w:lang w:val="id-ID"/>
        </w:rPr>
        <w:t>.</w:t>
      </w:r>
      <w:r w:rsidR="00565AF2" w:rsidRPr="00AC4243">
        <w:rPr>
          <w:rFonts w:ascii="Bookman Old Style" w:eastAsia="Corbel" w:hAnsi="Bookman Old Style" w:cs="Corbel"/>
          <w:b/>
          <w:sz w:val="16"/>
          <w:szCs w:val="16"/>
          <w:vertAlign w:val="superscript"/>
          <w:lang w:val="id-ID"/>
        </w:rPr>
        <w:t>2</w:t>
      </w:r>
      <w:r w:rsidR="00565AF2" w:rsidRPr="00AC4243">
        <w:rPr>
          <w:rFonts w:ascii="Bookman Old Style" w:eastAsia="Corbel" w:hAnsi="Bookman Old Style" w:cs="Corbel"/>
          <w:b/>
          <w:sz w:val="16"/>
          <w:szCs w:val="16"/>
          <w:lang w:val="id-ID"/>
        </w:rPr>
        <w:t xml:space="preserve">, </w:t>
      </w:r>
      <w:r>
        <w:rPr>
          <w:rFonts w:ascii="Bookman Old Style" w:eastAsia="Corbel" w:hAnsi="Bookman Old Style" w:cs="Corbel"/>
          <w:b/>
          <w:i/>
          <w:sz w:val="16"/>
          <w:szCs w:val="16"/>
          <w:lang w:val="en-GB"/>
        </w:rPr>
        <w:t xml:space="preserve">Asriani </w:t>
      </w:r>
      <w:r w:rsidR="00565AF2" w:rsidRPr="00AC4243">
        <w:rPr>
          <w:rFonts w:ascii="Bookman Old Style" w:eastAsia="Corbel" w:hAnsi="Bookman Old Style" w:cs="Corbel"/>
          <w:b/>
          <w:sz w:val="16"/>
          <w:szCs w:val="16"/>
          <w:vertAlign w:val="superscript"/>
          <w:lang w:val="id-ID"/>
        </w:rPr>
        <w:t>3</w:t>
      </w:r>
      <w:r w:rsidR="006D055D">
        <w:rPr>
          <w:rFonts w:ascii="Bookman Old Style" w:eastAsia="Corbel" w:hAnsi="Bookman Old Style" w:cs="Corbel"/>
          <w:b/>
          <w:sz w:val="16"/>
          <w:szCs w:val="16"/>
          <w:vertAlign w:val="superscript"/>
          <w:lang w:val="en-GB"/>
        </w:rPr>
        <w:t xml:space="preserve">, </w:t>
      </w:r>
      <w:r w:rsidR="006D055D" w:rsidRPr="006D055D">
        <w:rPr>
          <w:rFonts w:ascii="Bookman Old Style" w:eastAsia="Corbel" w:hAnsi="Bookman Old Style" w:cs="Corbel"/>
          <w:b/>
          <w:sz w:val="16"/>
          <w:szCs w:val="16"/>
          <w:lang w:val="en-GB"/>
        </w:rPr>
        <w:t>dst</w:t>
      </w:r>
    </w:p>
    <w:p w14:paraId="3F6EFC90" w14:textId="11CCA029" w:rsidR="00EC099A" w:rsidRPr="00AC4243" w:rsidRDefault="00A82E78" w:rsidP="00072F8D">
      <w:pPr>
        <w:spacing w:after="0"/>
        <w:ind w:left="2410"/>
        <w:outlineLvl w:val="0"/>
        <w:rPr>
          <w:rFonts w:ascii="Corbel" w:eastAsia="Corbel" w:hAnsi="Corbel" w:cs="Corbel"/>
          <w:sz w:val="16"/>
          <w:szCs w:val="16"/>
          <w:lang w:val="id-ID"/>
        </w:rPr>
      </w:pPr>
      <w:r w:rsidRPr="00AC4243">
        <w:rPr>
          <w:rFonts w:ascii="Corbel" w:eastAsia="Corbel" w:hAnsi="Corbel" w:cs="Corbel"/>
          <w:sz w:val="16"/>
          <w:szCs w:val="16"/>
          <w:vertAlign w:val="superscript"/>
          <w:lang w:val="id-ID"/>
        </w:rPr>
        <w:t>1</w:t>
      </w:r>
      <w:r w:rsidR="00B0214E" w:rsidRPr="00B0214E">
        <w:rPr>
          <w:rFonts w:ascii="Corbel" w:eastAsia="Corbel" w:hAnsi="Corbel" w:cs="Corbel"/>
          <w:sz w:val="16"/>
          <w:szCs w:val="16"/>
          <w:lang w:val="en-GB"/>
        </w:rPr>
        <w:t xml:space="preserve"> </w:t>
      </w:r>
      <w:r w:rsidR="00B0214E">
        <w:rPr>
          <w:rFonts w:ascii="Corbel" w:eastAsia="Corbel" w:hAnsi="Corbel" w:cs="Corbel"/>
          <w:sz w:val="16"/>
          <w:szCs w:val="16"/>
          <w:lang w:val="en-GB"/>
        </w:rPr>
        <w:t>Fakultas hukum. Universitas Ichsan Gorontalo</w:t>
      </w:r>
      <w:r w:rsidRPr="00AC4243">
        <w:rPr>
          <w:rFonts w:ascii="Corbel" w:eastAsia="Corbel" w:hAnsi="Corbel" w:cs="Corbel"/>
          <w:sz w:val="16"/>
          <w:szCs w:val="16"/>
          <w:lang w:val="id-ID"/>
        </w:rPr>
        <w:t>. Email:</w:t>
      </w:r>
      <w:r w:rsidR="00B43BB9" w:rsidRPr="00AC4243">
        <w:rPr>
          <w:color w:val="000000"/>
          <w:sz w:val="16"/>
          <w:lang w:val="id-ID"/>
        </w:rPr>
        <w:t xml:space="preserve"> </w:t>
      </w:r>
      <w:hyperlink r:id="rId12" w:history="1">
        <w:r w:rsidR="00B0214E">
          <w:rPr>
            <w:rStyle w:val="Hyperlink"/>
            <w:sz w:val="16"/>
            <w:lang w:val="en-GB"/>
          </w:rPr>
          <w:t>dhinilaw</w:t>
        </w:r>
        <w:r w:rsidR="006D055D" w:rsidRPr="00FF027D">
          <w:rPr>
            <w:rStyle w:val="Hyperlink"/>
            <w:sz w:val="16"/>
            <w:lang w:val="id-ID"/>
          </w:rPr>
          <w:t>@gmail.com</w:t>
        </w:r>
      </w:hyperlink>
    </w:p>
    <w:p w14:paraId="1FDBFC8D" w14:textId="7C676396" w:rsidR="00EC099A" w:rsidRPr="00AC4243" w:rsidRDefault="00A82E78">
      <w:pPr>
        <w:spacing w:after="0"/>
        <w:ind w:left="2410"/>
        <w:rPr>
          <w:rFonts w:ascii="Corbel" w:eastAsia="Corbel" w:hAnsi="Corbel" w:cs="Corbel"/>
          <w:sz w:val="16"/>
          <w:szCs w:val="16"/>
          <w:lang w:val="id-ID"/>
        </w:rPr>
      </w:pPr>
      <w:r w:rsidRPr="00AC4243">
        <w:rPr>
          <w:rFonts w:ascii="Corbel" w:eastAsia="Corbel" w:hAnsi="Corbel" w:cs="Corbel"/>
          <w:sz w:val="16"/>
          <w:szCs w:val="16"/>
          <w:vertAlign w:val="superscript"/>
          <w:lang w:val="id-ID"/>
        </w:rPr>
        <w:t>2</w:t>
      </w:r>
      <w:r w:rsidR="00B43BB9" w:rsidRPr="00AC4243">
        <w:rPr>
          <w:rFonts w:ascii="Corbel" w:eastAsia="Corbel" w:hAnsi="Corbel" w:cs="Corbel"/>
          <w:sz w:val="16"/>
          <w:szCs w:val="16"/>
          <w:lang w:val="id-ID"/>
        </w:rPr>
        <w:t xml:space="preserve"> </w:t>
      </w:r>
      <w:r w:rsidR="00B0214E">
        <w:rPr>
          <w:rFonts w:ascii="Corbel" w:eastAsia="Corbel" w:hAnsi="Corbel" w:cs="Corbel"/>
          <w:sz w:val="16"/>
          <w:szCs w:val="16"/>
          <w:lang w:val="en-GB"/>
        </w:rPr>
        <w:t>Fakultas hukum. Universitas Ichsan Gorontalo</w:t>
      </w:r>
      <w:r w:rsidR="006D055D" w:rsidRPr="00AC4243">
        <w:rPr>
          <w:rFonts w:ascii="Corbel" w:eastAsia="Corbel" w:hAnsi="Corbel" w:cs="Corbel"/>
          <w:sz w:val="16"/>
          <w:szCs w:val="16"/>
          <w:lang w:val="id-ID"/>
        </w:rPr>
        <w:t>. Email:</w:t>
      </w:r>
      <w:r w:rsidR="006D055D" w:rsidRPr="00AC4243">
        <w:rPr>
          <w:color w:val="000000"/>
          <w:sz w:val="16"/>
          <w:lang w:val="id-ID"/>
        </w:rPr>
        <w:t xml:space="preserve"> </w:t>
      </w:r>
      <w:hyperlink r:id="rId13" w:history="1">
        <w:r w:rsidR="00B0214E" w:rsidRPr="00BC62A9">
          <w:rPr>
            <w:rStyle w:val="Hyperlink"/>
            <w:sz w:val="16"/>
            <w:lang w:val="en-GB"/>
          </w:rPr>
          <w:t>aliyasfhunisan</w:t>
        </w:r>
        <w:r w:rsidR="00B0214E" w:rsidRPr="00BC62A9">
          <w:rPr>
            <w:rStyle w:val="Hyperlink"/>
            <w:sz w:val="16"/>
            <w:lang w:val="id-ID"/>
          </w:rPr>
          <w:t>@gmail.com</w:t>
        </w:r>
      </w:hyperlink>
    </w:p>
    <w:p w14:paraId="2DA34C5D" w14:textId="3DB81A8E" w:rsidR="006D055D" w:rsidRDefault="00A82E78" w:rsidP="006D055D">
      <w:pPr>
        <w:ind w:left="2410"/>
        <w:rPr>
          <w:sz w:val="16"/>
          <w:lang w:val="en-GB"/>
        </w:rPr>
      </w:pPr>
      <w:r w:rsidRPr="00AC4243">
        <w:rPr>
          <w:rFonts w:ascii="Corbel" w:eastAsia="Corbel" w:hAnsi="Corbel" w:cs="Corbel"/>
          <w:sz w:val="16"/>
          <w:szCs w:val="16"/>
          <w:vertAlign w:val="superscript"/>
          <w:lang w:val="id-ID"/>
        </w:rPr>
        <w:t>3</w:t>
      </w:r>
      <w:r w:rsidR="006D055D" w:rsidRPr="006D055D">
        <w:rPr>
          <w:rFonts w:ascii="Corbel" w:eastAsia="Corbel" w:hAnsi="Corbel" w:cs="Corbel"/>
          <w:sz w:val="16"/>
          <w:szCs w:val="16"/>
          <w:lang w:val="en-GB"/>
        </w:rPr>
        <w:t xml:space="preserve"> </w:t>
      </w:r>
      <w:r w:rsidR="00B0214E">
        <w:rPr>
          <w:rFonts w:ascii="Corbel" w:eastAsia="Corbel" w:hAnsi="Corbel" w:cs="Corbel"/>
          <w:sz w:val="16"/>
          <w:szCs w:val="16"/>
          <w:lang w:val="en-GB"/>
        </w:rPr>
        <w:t>Fakultas hukum. Universitas Ichsan Gorontalo</w:t>
      </w:r>
      <w:r w:rsidR="006D055D" w:rsidRPr="00AC4243">
        <w:rPr>
          <w:rFonts w:ascii="Corbel" w:eastAsia="Corbel" w:hAnsi="Corbel" w:cs="Corbel"/>
          <w:sz w:val="16"/>
          <w:szCs w:val="16"/>
          <w:lang w:val="id-ID"/>
        </w:rPr>
        <w:t>. Email:</w:t>
      </w:r>
      <w:r w:rsidR="006D055D" w:rsidRPr="00AC4243">
        <w:rPr>
          <w:color w:val="000000"/>
          <w:sz w:val="16"/>
          <w:lang w:val="id-ID"/>
        </w:rPr>
        <w:t xml:space="preserve"> </w:t>
      </w:r>
      <w:hyperlink r:id="rId14" w:history="1">
        <w:r w:rsidR="00B0214E">
          <w:rPr>
            <w:rStyle w:val="Hyperlink"/>
            <w:sz w:val="16"/>
            <w:lang w:val="en-GB"/>
          </w:rPr>
          <w:t>pakayaasriani</w:t>
        </w:r>
        <w:r w:rsidR="006D055D" w:rsidRPr="00FF027D">
          <w:rPr>
            <w:rStyle w:val="Hyperlink"/>
            <w:sz w:val="16"/>
            <w:lang w:val="id-ID"/>
          </w:rPr>
          <w:t>@gmail.com</w:t>
        </w:r>
      </w:hyperlink>
    </w:p>
    <w:p w14:paraId="36DE9232" w14:textId="77777777" w:rsidR="00FA7F86" w:rsidRPr="00FA7F86" w:rsidRDefault="00F14D56" w:rsidP="00FA7F86">
      <w:pPr>
        <w:spacing w:line="240" w:lineRule="auto"/>
        <w:ind w:left="2410"/>
        <w:jc w:val="both"/>
        <w:rPr>
          <w:rFonts w:ascii="Times New Roman" w:eastAsia="EB Garamond" w:hAnsi="Times New Roman" w:cs="Times New Roman"/>
          <w:color w:val="000000"/>
          <w:sz w:val="20"/>
          <w:szCs w:val="18"/>
          <w:lang w:val="id-ID"/>
        </w:rPr>
      </w:pPr>
      <w:r w:rsidRPr="00AC4243">
        <w:rPr>
          <w:noProof/>
          <w:lang w:val="id-ID"/>
        </w:rPr>
        <mc:AlternateContent>
          <mc:Choice Requires="wps">
            <w:drawing>
              <wp:anchor distT="0" distB="0" distL="114300" distR="114300" simplePos="0" relativeHeight="251660288" behindDoc="0" locked="0" layoutInCell="1" hidden="0" allowOverlap="1" wp14:anchorId="6ACA3EA3" wp14:editId="164B00B3">
                <wp:simplePos x="0" y="0"/>
                <wp:positionH relativeFrom="column">
                  <wp:posOffset>-1056005</wp:posOffset>
                </wp:positionH>
                <wp:positionV relativeFrom="paragraph">
                  <wp:posOffset>848995</wp:posOffset>
                </wp:positionV>
                <wp:extent cx="2267522" cy="1847850"/>
                <wp:effectExtent l="0" t="0" r="0" b="6350"/>
                <wp:wrapNone/>
                <wp:docPr id="272" name="Persegi Panjang 272"/>
                <wp:cNvGraphicFramePr/>
                <a:graphic xmlns:a="http://schemas.openxmlformats.org/drawingml/2006/main">
                  <a:graphicData uri="http://schemas.microsoft.com/office/word/2010/wordprocessingShape">
                    <wps:wsp>
                      <wps:cNvSpPr/>
                      <wps:spPr>
                        <a:xfrm>
                          <a:off x="0" y="0"/>
                          <a:ext cx="2267522" cy="1847850"/>
                        </a:xfrm>
                        <a:prstGeom prst="rect">
                          <a:avLst/>
                        </a:prstGeom>
                        <a:solidFill>
                          <a:schemeClr val="lt1"/>
                        </a:solidFill>
                        <a:ln>
                          <a:noFill/>
                        </a:ln>
                      </wps:spPr>
                      <wps:txbx>
                        <w:txbxContent>
                          <w:p w14:paraId="3978DAA3" w14:textId="5666933D" w:rsidR="00EC099A" w:rsidRDefault="00A82E78" w:rsidP="009C0A15">
                            <w:pPr>
                              <w:tabs>
                                <w:tab w:val="left" w:pos="2552"/>
                              </w:tabs>
                              <w:spacing w:after="0" w:line="258" w:lineRule="auto"/>
                              <w:ind w:left="851"/>
                              <w:textDirection w:val="btLr"/>
                            </w:pPr>
                            <w:r>
                              <w:rPr>
                                <w:color w:val="000000"/>
                                <w:sz w:val="16"/>
                              </w:rPr>
                              <w:t>*</w:t>
                            </w:r>
                            <w:r>
                              <w:rPr>
                                <w:color w:val="164A41"/>
                                <w:sz w:val="16"/>
                              </w:rPr>
                              <w:t xml:space="preserve">Corresponding author: </w:t>
                            </w:r>
                            <w:r w:rsidR="00B0214E">
                              <w:rPr>
                                <w:b/>
                                <w:i/>
                                <w:color w:val="000000"/>
                                <w:sz w:val="16"/>
                              </w:rPr>
                              <w:t>Asriani</w:t>
                            </w:r>
                            <w:r>
                              <w:rPr>
                                <w:color w:val="000000"/>
                                <w:sz w:val="16"/>
                              </w:rPr>
                              <w:t xml:space="preserve">, </w:t>
                            </w:r>
                            <w:r w:rsidR="00B0214E">
                              <w:rPr>
                                <w:rFonts w:ascii="Corbel" w:eastAsia="Corbel" w:hAnsi="Corbel" w:cs="Corbel"/>
                                <w:sz w:val="16"/>
                                <w:szCs w:val="16"/>
                                <w:lang w:val="en-GB"/>
                              </w:rPr>
                              <w:t>Fakultas hukum. Universitas Ichsan Gorontalo</w:t>
                            </w:r>
                          </w:p>
                          <w:p w14:paraId="6C685F47" w14:textId="77777777" w:rsidR="00EC099A" w:rsidRDefault="00EC099A">
                            <w:pPr>
                              <w:spacing w:after="0" w:line="258" w:lineRule="auto"/>
                              <w:ind w:left="425" w:firstLine="425"/>
                              <w:textDirection w:val="btLr"/>
                            </w:pPr>
                          </w:p>
                          <w:p w14:paraId="46B4E562" w14:textId="6BD39394" w:rsidR="00565AF2" w:rsidRPr="00565AF2" w:rsidRDefault="00A82E78" w:rsidP="00565AF2">
                            <w:pPr>
                              <w:spacing w:after="0" w:line="258" w:lineRule="auto"/>
                              <w:ind w:left="851" w:firstLine="1"/>
                              <w:textDirection w:val="btLr"/>
                              <w:rPr>
                                <w:color w:val="000000"/>
                                <w:sz w:val="16"/>
                                <w:u w:val="single"/>
                              </w:rPr>
                            </w:pPr>
                            <w:r>
                              <w:rPr>
                                <w:color w:val="164A41"/>
                                <w:sz w:val="16"/>
                              </w:rPr>
                              <w:t>E-mail:</w:t>
                            </w:r>
                            <w:r w:rsidR="00565AF2">
                              <w:rPr>
                                <w:color w:val="164A41"/>
                                <w:sz w:val="16"/>
                              </w:rPr>
                              <w:t xml:space="preserve"> </w:t>
                            </w:r>
                            <w:hyperlink r:id="rId15" w:history="1">
                              <w:r w:rsidR="00B0214E">
                                <w:rPr>
                                  <w:rStyle w:val="Hyperlink"/>
                                  <w:sz w:val="16"/>
                                </w:rPr>
                                <w:t>pakayaasriani</w:t>
                              </w:r>
                              <w:r w:rsidR="00A97DCC" w:rsidRPr="00FF027D">
                                <w:rPr>
                                  <w:rStyle w:val="Hyperlink"/>
                                  <w:sz w:val="16"/>
                                </w:rPr>
                                <w:t>@gmail.com</w:t>
                              </w:r>
                            </w:hyperlink>
                          </w:p>
                          <w:p w14:paraId="7B1C0C3E" w14:textId="24D0A8C2" w:rsidR="00EC099A" w:rsidRDefault="00EC099A">
                            <w:pPr>
                              <w:spacing w:after="0" w:line="258" w:lineRule="auto"/>
                              <w:ind w:left="425" w:firstLine="425"/>
                              <w:textDirection w:val="btLr"/>
                            </w:pPr>
                          </w:p>
                          <w:p w14:paraId="7E0EA4A0" w14:textId="77777777" w:rsidR="00EC099A" w:rsidRDefault="00EC099A">
                            <w:pPr>
                              <w:spacing w:after="0" w:line="258" w:lineRule="auto"/>
                              <w:ind w:left="567" w:firstLine="567"/>
                              <w:textDirection w:val="btLr"/>
                            </w:pPr>
                          </w:p>
                          <w:p w14:paraId="12CE82F1" w14:textId="77777777" w:rsidR="00EC099A" w:rsidRDefault="00EC099A">
                            <w:pPr>
                              <w:spacing w:after="0" w:line="258" w:lineRule="auto"/>
                              <w:ind w:left="567" w:firstLine="567"/>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6ACA3EA3" id="Persegi Panjang 272" o:spid="_x0000_s1026" style="position:absolute;left:0;text-align:left;margin-left:-83.15pt;margin-top:66.85pt;width:178.55pt;height:1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" fillcolor="white [3201]" stroked="f">
                <v:textbox inset="2.53958mm,1.2694mm,2.53958mm,1.2694mm">
                  <w:txbxContent>
                    <w:p w14:paraId="3978DAA3" w14:textId="5666933D" w:rsidR="00EC099A" w:rsidRDefault="00A82E78" w:rsidP="009C0A15">
                      <w:pPr>
                        <w:tabs>
                          <w:tab w:val="left" w:pos="2552"/>
                        </w:tabs>
                        <w:spacing w:after="0" w:line="258" w:lineRule="auto"/>
                        <w:ind w:left="851"/>
                        <w:textDirection w:val="btLr"/>
                      </w:pPr>
                      <w:r>
                        <w:rPr>
                          <w:color w:val="000000"/>
                          <w:sz w:val="16"/>
                        </w:rPr>
                        <w:t>*</w:t>
                      </w:r>
                      <w:r>
                        <w:rPr>
                          <w:color w:val="164A41"/>
                          <w:sz w:val="16"/>
                        </w:rPr>
                        <w:t xml:space="preserve">Corresponding author: </w:t>
                      </w:r>
                      <w:r w:rsidR="00B0214E">
                        <w:rPr>
                          <w:b/>
                          <w:i/>
                          <w:color w:val="000000"/>
                          <w:sz w:val="16"/>
                        </w:rPr>
                        <w:t>Asriani</w:t>
                      </w:r>
                      <w:r>
                        <w:rPr>
                          <w:color w:val="000000"/>
                          <w:sz w:val="16"/>
                        </w:rPr>
                        <w:t xml:space="preserve">, </w:t>
                      </w:r>
                      <w:r w:rsidR="00B0214E">
                        <w:rPr>
                          <w:rFonts w:ascii="Corbel" w:eastAsia="Corbel" w:hAnsi="Corbel" w:cs="Corbel"/>
                          <w:sz w:val="16"/>
                          <w:szCs w:val="16"/>
                          <w:lang w:val="en-GB"/>
                        </w:rPr>
                        <w:t>Fakultas hukum. Universitas Ichsan Gorontalo</w:t>
                      </w:r>
                    </w:p>
                    <w:p w14:paraId="6C685F47" w14:textId="77777777" w:rsidR="00EC099A" w:rsidRDefault="00EC099A">
                      <w:pPr>
                        <w:spacing w:after="0" w:line="258" w:lineRule="auto"/>
                        <w:ind w:left="425" w:firstLine="425"/>
                        <w:textDirection w:val="btLr"/>
                      </w:pPr>
                    </w:p>
                    <w:p w14:paraId="46B4E562" w14:textId="6BD39394" w:rsidR="00565AF2" w:rsidRPr="00565AF2" w:rsidRDefault="00A82E78" w:rsidP="00565AF2">
                      <w:pPr>
                        <w:spacing w:after="0" w:line="258" w:lineRule="auto"/>
                        <w:ind w:left="851" w:firstLine="1"/>
                        <w:textDirection w:val="btLr"/>
                        <w:rPr>
                          <w:color w:val="000000"/>
                          <w:sz w:val="16"/>
                          <w:u w:val="single"/>
                        </w:rPr>
                      </w:pPr>
                      <w:r>
                        <w:rPr>
                          <w:color w:val="164A41"/>
                          <w:sz w:val="16"/>
                        </w:rPr>
                        <w:t>E-mail:</w:t>
                      </w:r>
                      <w:r w:rsidR="00565AF2">
                        <w:rPr>
                          <w:color w:val="164A41"/>
                          <w:sz w:val="16"/>
                        </w:rPr>
                        <w:t xml:space="preserve"> </w:t>
                      </w:r>
                      <w:hyperlink r:id="rId16" w:history="1">
                        <w:r w:rsidR="00B0214E">
                          <w:rPr>
                            <w:rStyle w:val="Hyperlink"/>
                            <w:sz w:val="16"/>
                          </w:rPr>
                          <w:t>pakayaasriani</w:t>
                        </w:r>
                        <w:r w:rsidR="00A97DCC" w:rsidRPr="00FF027D">
                          <w:rPr>
                            <w:rStyle w:val="Hyperlink"/>
                            <w:sz w:val="16"/>
                          </w:rPr>
                          <w:t>@gmail.com</w:t>
                        </w:r>
                      </w:hyperlink>
                    </w:p>
                    <w:p w14:paraId="7B1C0C3E" w14:textId="24D0A8C2" w:rsidR="00EC099A" w:rsidRDefault="00EC099A">
                      <w:pPr>
                        <w:spacing w:after="0" w:line="258" w:lineRule="auto"/>
                        <w:ind w:left="425" w:firstLine="425"/>
                        <w:textDirection w:val="btLr"/>
                      </w:pPr>
                    </w:p>
                    <w:p w14:paraId="7E0EA4A0" w14:textId="77777777" w:rsidR="00EC099A" w:rsidRDefault="00EC099A">
                      <w:pPr>
                        <w:spacing w:after="0" w:line="258" w:lineRule="auto"/>
                        <w:ind w:left="567" w:firstLine="567"/>
                        <w:textDirection w:val="btLr"/>
                      </w:pPr>
                    </w:p>
                    <w:p w14:paraId="12CE82F1" w14:textId="77777777" w:rsidR="00EC099A" w:rsidRDefault="00EC099A">
                      <w:pPr>
                        <w:spacing w:after="0" w:line="258" w:lineRule="auto"/>
                        <w:ind w:left="567" w:firstLine="567"/>
                        <w:textDirection w:val="btLr"/>
                      </w:pPr>
                    </w:p>
                  </w:txbxContent>
                </v:textbox>
              </v:rect>
            </w:pict>
          </mc:Fallback>
        </mc:AlternateContent>
      </w:r>
      <w:r w:rsidRPr="00AC4243">
        <w:rPr>
          <w:rFonts w:ascii="Corbel" w:eastAsia="Corbel" w:hAnsi="Corbel" w:cs="Corbel"/>
          <w:b/>
          <w:color w:val="164A41"/>
          <w:sz w:val="20"/>
          <w:szCs w:val="20"/>
          <w:lang w:val="id-ID"/>
        </w:rPr>
        <w:t>Abstract:</w:t>
      </w:r>
      <w:r w:rsidRPr="00AC4243">
        <w:rPr>
          <w:rFonts w:ascii="Corbel" w:eastAsia="Corbel" w:hAnsi="Corbel" w:cs="Corbel"/>
          <w:b/>
          <w:color w:val="FF0000"/>
          <w:sz w:val="20"/>
          <w:szCs w:val="20"/>
          <w:lang w:val="id-ID"/>
        </w:rPr>
        <w:t xml:space="preserve"> </w:t>
      </w:r>
      <w:r w:rsidR="00FA7F86" w:rsidRPr="00FA7F86">
        <w:rPr>
          <w:rFonts w:ascii="Times New Roman" w:eastAsia="EB Garamond" w:hAnsi="Times New Roman" w:cs="Times New Roman"/>
          <w:color w:val="000000"/>
          <w:sz w:val="20"/>
          <w:szCs w:val="18"/>
          <w:lang w:val="id-ID"/>
        </w:rPr>
        <w:t>ASRIANI. H1120013. LEGAL PROTECTION OF WORKERS' HOLIDAY ALLOWANCES IGNORED BY PT. GUNBUSTER NICKEL INDUSTRI (GNI) CENTRAL SULAWESI</w:t>
      </w:r>
    </w:p>
    <w:p w14:paraId="139B46CF" w14:textId="77777777" w:rsidR="00FA7F86" w:rsidRPr="00FA7F86" w:rsidRDefault="00FA7F86" w:rsidP="00FA7F86">
      <w:pPr>
        <w:spacing w:line="240" w:lineRule="auto"/>
        <w:ind w:left="2410"/>
        <w:jc w:val="both"/>
        <w:rPr>
          <w:rFonts w:ascii="Times New Roman" w:eastAsia="EB Garamond" w:hAnsi="Times New Roman" w:cs="Times New Roman"/>
          <w:color w:val="000000"/>
          <w:sz w:val="20"/>
          <w:szCs w:val="18"/>
          <w:lang w:val="id-ID"/>
        </w:rPr>
      </w:pPr>
      <w:r w:rsidRPr="00FA7F86">
        <w:rPr>
          <w:rFonts w:ascii="Times New Roman" w:eastAsia="EB Garamond" w:hAnsi="Times New Roman" w:cs="Times New Roman"/>
          <w:color w:val="000000"/>
          <w:sz w:val="20"/>
          <w:szCs w:val="18"/>
          <w:lang w:val="id-ID"/>
        </w:rPr>
        <w:t>This research aims to find out: (1) the legal efforts of workers' unpaid holiday al-lowances by PT Gunbuster Nickel Industry (GNI) Central Sulawesi, and (2) the legal protection of workers' unpaid holiday allowances by PT Gunbuster Nickel Industry (GNI) Central Sulawesi. This research employs an empirical juridical legal research method. Empirical juridical research is legal research on the en-actment or implementation of normative legal provisions on any specific legal events that occur in society. The research results indicate that: (1) The legal efforts of workers' unpaid holiday allowances by PT Gunbuster Nickel Industry (GNI) Cen-tral Sulawesi are carried out based on mutual agreement between workers and companies without coercion so that there is no religious holiday allowance for workers, (2) To find out the legal protection of workers' unpaid holiday allowances by PT Gunbuster Nickel Industry (GNI) Central Sulawesi protection provided by the company to workers in the form of safety at work and the company's concern for its workers. The protection of workers is regulated in Law No. 13 of 2003 and the Regulation of the Minister of Labor provides sanctions against companies that do not provide holiday allowances to workers in the form of written warnings, re-strictions on business activities, temporary suspension of production equipment partially or completely, and suspension of business activities. (1) Obstacles come from the workers themselves because of the low level of education and the feeling of fear so that workers do not question or set aside the rights they should get. (2) Sanctions should be stricter than administrative sanctions. Additional sanctions such as imprisonment are expected to reduce the level of violation of religious holi-day rights.</w:t>
      </w:r>
    </w:p>
    <w:p w14:paraId="46F820FB" w14:textId="77777777" w:rsidR="00FA7F86" w:rsidRPr="00FA7F86" w:rsidRDefault="00FA7F86" w:rsidP="00FA7F86">
      <w:pPr>
        <w:spacing w:line="240" w:lineRule="auto"/>
        <w:ind w:left="2410"/>
        <w:jc w:val="both"/>
        <w:rPr>
          <w:rFonts w:ascii="Times New Roman" w:eastAsia="EB Garamond" w:hAnsi="Times New Roman" w:cs="Times New Roman"/>
          <w:color w:val="000000"/>
          <w:sz w:val="20"/>
          <w:szCs w:val="18"/>
          <w:lang w:val="id-ID"/>
        </w:rPr>
      </w:pPr>
    </w:p>
    <w:p w14:paraId="06626BCB" w14:textId="42643404" w:rsidR="006D055D" w:rsidRPr="00FA7F86" w:rsidRDefault="00FA7F86" w:rsidP="00FA7F86">
      <w:pPr>
        <w:spacing w:line="240" w:lineRule="auto"/>
        <w:ind w:left="2410"/>
        <w:jc w:val="both"/>
        <w:rPr>
          <w:rFonts w:ascii="Times New Roman" w:eastAsia="EB Garamond" w:hAnsi="Times New Roman" w:cs="Times New Roman"/>
          <w:color w:val="000000"/>
          <w:sz w:val="20"/>
          <w:szCs w:val="18"/>
          <w:lang w:val="id-ID"/>
        </w:rPr>
      </w:pPr>
      <w:r w:rsidRPr="00FA7F86">
        <w:rPr>
          <w:rFonts w:ascii="Times New Roman" w:eastAsia="EB Garamond" w:hAnsi="Times New Roman" w:cs="Times New Roman"/>
          <w:color w:val="000000"/>
          <w:sz w:val="20"/>
          <w:szCs w:val="18"/>
          <w:lang w:val="id-ID"/>
        </w:rPr>
        <w:t>Keywords: worker protection, THR, Regulation of the Minister of Labor No.6 of 2016</w:t>
      </w:r>
    </w:p>
    <w:p w14:paraId="70692B25" w14:textId="77777777" w:rsidR="00EC099A" w:rsidRPr="00AC4243" w:rsidRDefault="00EC099A" w:rsidP="00FA7F86">
      <w:pPr>
        <w:spacing w:after="0" w:line="240" w:lineRule="auto"/>
        <w:jc w:val="both"/>
        <w:rPr>
          <w:rFonts w:ascii="Corbel" w:eastAsia="Corbel" w:hAnsi="Corbel" w:cs="Corbel"/>
          <w:sz w:val="16"/>
          <w:szCs w:val="16"/>
          <w:lang w:val="id-ID"/>
        </w:rPr>
      </w:pPr>
    </w:p>
    <w:p w14:paraId="0DA918E4" w14:textId="77777777" w:rsidR="00EC099A" w:rsidRPr="00AC4243" w:rsidRDefault="00EC099A">
      <w:pPr>
        <w:spacing w:after="0" w:line="240" w:lineRule="auto"/>
        <w:ind w:left="2410"/>
        <w:jc w:val="both"/>
        <w:rPr>
          <w:rFonts w:ascii="Corbel" w:eastAsia="Corbel" w:hAnsi="Corbel" w:cs="Corbel"/>
          <w:sz w:val="16"/>
          <w:szCs w:val="16"/>
          <w:lang w:val="id-ID"/>
        </w:rPr>
      </w:pPr>
    </w:p>
    <w:p w14:paraId="67139114" w14:textId="40922210" w:rsidR="00EC099A" w:rsidRPr="00AC4243" w:rsidRDefault="00BE4912" w:rsidP="00072F8D">
      <w:pPr>
        <w:pBdr>
          <w:top w:val="nil"/>
          <w:left w:val="nil"/>
          <w:bottom w:val="nil"/>
          <w:right w:val="nil"/>
          <w:between w:val="nil"/>
        </w:pBdr>
        <w:spacing w:after="0" w:line="240" w:lineRule="auto"/>
        <w:ind w:left="284"/>
        <w:jc w:val="both"/>
        <w:outlineLvl w:val="0"/>
        <w:rPr>
          <w:rFonts w:ascii="Corbel" w:eastAsia="Corbel" w:hAnsi="Corbel" w:cs="Corbel"/>
          <w:b/>
          <w:color w:val="FF0000"/>
          <w:sz w:val="16"/>
          <w:szCs w:val="16"/>
          <w:lang w:val="id-ID"/>
        </w:rPr>
      </w:pPr>
      <w:r w:rsidRPr="00AC4243">
        <w:rPr>
          <w:b/>
          <w:color w:val="164A41"/>
          <w:lang w:val="id-ID"/>
        </w:rPr>
        <w:t>PENDAHULUAN</w:t>
      </w:r>
      <w:r w:rsidRPr="00AC4243">
        <w:rPr>
          <w:b/>
          <w:color w:val="B07F1C"/>
          <w:lang w:val="id-ID"/>
        </w:rPr>
        <w:t xml:space="preserve"> </w:t>
      </w:r>
    </w:p>
    <w:p w14:paraId="5FE52F4B" w14:textId="085F5E61" w:rsidR="00FA7F86" w:rsidRDefault="00FA7F86" w:rsidP="00FA7F86">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Aristoteles menyatakan bahwa manusia tidak dapat hidup sendiri</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mengatakan bahwa "manusia itu adalah zoon politicon, yang artinya bahwa manusia sebagai mahluk pada dasarnya selalu ingin bergaul dan berkumpul dengan sesama manusia lainnya, jadi mahluk yang suka bermasyarakat." Manusia disebut sebagai mahluk sosial karena kecenderungan mereka untuk </w:t>
      </w:r>
      <w:r>
        <w:rPr>
          <w:rFonts w:ascii="Times New Roman" w:eastAsia="Times New Roman" w:hAnsi="Times New Roman" w:cs="Times New Roman"/>
          <w:sz w:val="24"/>
          <w:szCs w:val="24"/>
        </w:rPr>
        <w:lastRenderedPageBreak/>
        <w:t>bergaul dengan orang lain.</w:t>
      </w:r>
      <w:r>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Karena manusia hidup dalam masyarakat, mereka memiliki beberapa kebutuhan yang harus dipenuhi. Ini termasuk makan, reproduksi, kenyamanan tubuh, keamanan, kebutuhan gerak, dan kebutuhan untuk tumbuh. Dalam kehidupan manusia, kebutuhan pokok utama adalah sandang, pangan, dan papan. Untuk memenuhi kebutuhan pokok tersebut, orang bekerja sama dengan orang lain untuk melindungi hak pekerja untuk mendapatkan tunjangan hari raya keagamaanya. Seorang pekerja memiliki kewajiban, termasuk kewajiban untuk bekerja dan memenuhi kewajibannya. Mereka juga memiliki hak, seperti hak untuk tidak diperlakukan dengan buruk.</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hak untuk mendapatkan tunjangan Hari Raya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Keagamaan dan upah</w:t>
      </w:r>
      <w:r>
        <w:rPr>
          <w:rFonts w:ascii="Times New Roman" w:eastAsia="Times New Roman" w:hAnsi="Times New Roman" w:cs="Times New Roman"/>
          <w:sz w:val="24"/>
          <w:szCs w:val="24"/>
          <w:lang w:val="id-ID"/>
        </w:rPr>
        <w:t>.</w:t>
      </w:r>
      <w:r>
        <w:rPr>
          <w:rStyle w:val="FootnoteReference"/>
          <w:rFonts w:ascii="Times New Roman" w:eastAsia="Times New Roman" w:hAnsi="Times New Roman" w:cs="Times New Roman"/>
          <w:sz w:val="24"/>
          <w:szCs w:val="24"/>
          <w:lang w:val="id-ID"/>
        </w:rPr>
        <w:footnoteReference w:id="2"/>
      </w:r>
      <w:r>
        <w:rPr>
          <w:rFonts w:ascii="Times New Roman" w:eastAsia="Times New Roman" w:hAnsi="Times New Roman" w:cs="Times New Roman"/>
          <w:sz w:val="24"/>
          <w:szCs w:val="24"/>
        </w:rPr>
        <w:t xml:space="preserve"> seperti yang dinyatakan dalam Surat Edaran Menteri Tenaga Kerja Nomor 07/MEN/1990, yang menyatakan bahwa ada dua jenis pendapatan kerja, yaitu pendapatan upah dan non-upah.</w:t>
      </w:r>
      <w:r>
        <w:rPr>
          <w:rStyle w:val="FootnoteReference"/>
          <w:rFonts w:ascii="Times New Roman" w:eastAsia="Times New Roman" w:hAnsi="Times New Roman" w:cs="Times New Roman"/>
          <w:sz w:val="24"/>
          <w:szCs w:val="24"/>
        </w:rPr>
        <w:footnoteReference w:id="3"/>
      </w:r>
    </w:p>
    <w:p w14:paraId="76543206" w14:textId="77777777" w:rsidR="00FA7F86" w:rsidRDefault="00FA7F86" w:rsidP="00FA7F86">
      <w:pPr>
        <w:spacing w:before="24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Upah, menurut Pasal 1 angka 30 Undang-Undang Nomor 13 Tahun 2003 tentang Ketenagakerjaan, adalah hak yang diterima oleh pekerja atau buruh sebagai imbalan dari seorang pengusaha atau pemberi kerja kepada pekerja atau buruh yang ditetapkan dan dibayarkan menurut suatu perjanjian kerja kesepakatan kerja, atau peraturan perundang-undangan, termasuk tunjangan bagi pekerja atau buruh dan keluarganya atas suat</w:t>
      </w:r>
      <w:r>
        <w:rPr>
          <w:rFonts w:ascii="Times New Roman" w:eastAsia="Times New Roman" w:hAnsi="Times New Roman" w:cs="Times New Roman"/>
          <w:sz w:val="24"/>
          <w:szCs w:val="24"/>
          <w:lang w:val="id-ID"/>
        </w:rPr>
        <w:t>u pekerjaan</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
    <w:p w14:paraId="171011F5" w14:textId="77777777" w:rsidR="00FA7F86" w:rsidRDefault="00FA7F86" w:rsidP="00FA7F86">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Namun, Pasal 6 Peraturan Pemerintah Nomor 78 Tahun 2015 tentang Pengupahan menjelaskan pendapatan non upah yang diterima oleh pekerja, yaitu pendapatan berupa Tunjangan Hari Raya (THR), bonus, uang servis pada usaha tertentu, dan/atau uang pengganti fasilitas kerja. Tunjangan Hari Raya (THR) diberikan dalam bentuk uang, seperti yang dinyatakan dalam Pasal 6 Peraturan Menteri Ketenagakerjaan Nomor 6 Tahun 2016 tentang Pengupahan.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mana tunjangan yang diberikan oleh pemberi kerja atau pengusaha pada hari raya keagamaan. Pekerja muslim menerima tunjangan selama Hari Raya Idul Fitri untuk memenuhi kebutuhan mereka. Pekerja non-muslim juga menerima Tunjangan Hari Raya (THR) pada hari raya keagamaan karena agama mereka. Tunjangan Hari Raya (THR) adalah jenis pendapatan </w:t>
      </w:r>
      <w:r>
        <w:rPr>
          <w:rFonts w:ascii="Times New Roman" w:eastAsia="Times New Roman" w:hAnsi="Times New Roman" w:cs="Times New Roman"/>
          <w:sz w:val="24"/>
          <w:szCs w:val="24"/>
        </w:rPr>
        <w:lastRenderedPageBreak/>
        <w:t>yang diperoleh oleh perusahaan atau instansi dan dapat digunakan untuk memenuhi kebutuhan tambahan selama hari raya keagamaan.</w:t>
      </w:r>
    </w:p>
    <w:p w14:paraId="5E8DAE8E" w14:textId="77777777" w:rsidR="00FA7F86" w:rsidRDefault="00FA7F86" w:rsidP="00FA7F8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Peraturan Menteri Ketenagakerjaan Republik Indonesia Nomor 6 Tahun 2016 tentang Tunjangan Hari Raya Keagaman Bagi Pekerja/Buruh di Perusahaan menggantikan Peraturan Menteri Ketenagakerjaan Republik Indonesia Nomor PER-04/MEN/1994 tentang Tunjangan Hari Raya Keagamaan Bagi Pekerja di Perusahan. Peraturan sebelumnya dianggap kurang melindungi hak pekerja untuk mendapatkan tunjangan hari raya.</w:t>
      </w:r>
      <w:r>
        <w:rPr>
          <w:rStyle w:val="FootnoteReference"/>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Dengan peraturan baru ini, diharapkan masalah pembayaran Tunjangan Hari Raya akan berkurang.</w:t>
      </w:r>
    </w:p>
    <w:p w14:paraId="7C6E7385" w14:textId="77777777" w:rsidR="00FA7F86" w:rsidRDefault="00FA7F86" w:rsidP="00FA7F86">
      <w:pPr>
        <w:spacing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Setiap mendekati Hari Raya Idul Fitri, pemberian hak Tunjangan Hari Raya selalu menjadi masalah utama dalam k</w:t>
      </w:r>
      <w:r>
        <w:rPr>
          <w:rFonts w:ascii="Times New Roman" w:eastAsia="Times New Roman" w:hAnsi="Times New Roman" w:cs="Times New Roman"/>
          <w:sz w:val="24"/>
          <w:szCs w:val="24"/>
          <w:lang w:val="id-ID"/>
        </w:rPr>
        <w:t>etenagakerjaan</w:t>
      </w:r>
      <w:r>
        <w:rPr>
          <w:rFonts w:ascii="Times New Roman" w:eastAsia="Times New Roman" w:hAnsi="Times New Roman" w:cs="Times New Roman"/>
          <w:sz w:val="24"/>
          <w:szCs w:val="24"/>
        </w:rPr>
        <w:t>. Ada banyak protes pekerja untuk menuntut pembayaran hak Tunjangan Hari</w:t>
      </w:r>
      <w:r>
        <w:rPr>
          <w:rFonts w:ascii="Times New Roman" w:eastAsia="Times New Roman" w:hAnsi="Times New Roman" w:cs="Times New Roman"/>
          <w:sz w:val="24"/>
          <w:szCs w:val="24"/>
          <w:lang w:val="id-ID"/>
        </w:rPr>
        <w:t xml:space="preserve"> Raya (THR)</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dilakukan sesuai dengan ketentuan. Di tengah melambungnya harga bahan pokok menjelang hari raya, perusahaan tampaknya tidak menyadari pemberian hak Tunjangan Hari Raya (THR)</w:t>
      </w:r>
      <w:r>
        <w:rPr>
          <w:rFonts w:ascii="Times New Roman" w:eastAsia="Times New Roman" w:hAnsi="Times New Roman" w:cs="Times New Roman"/>
          <w:sz w:val="24"/>
          <w:szCs w:val="24"/>
          <w:lang w:val="id-ID"/>
        </w:rPr>
        <w:t xml:space="preserve"> saangtlah penting bagi pekerja</w:t>
      </w:r>
      <w:r>
        <w:rPr>
          <w:rFonts w:ascii="Times New Roman" w:eastAsia="Times New Roman" w:hAnsi="Times New Roman" w:cs="Times New Roman"/>
          <w:sz w:val="24"/>
          <w:szCs w:val="24"/>
        </w:rPr>
        <w:t>. Hal ini berdampak pada masalah hidup pekerja.</w:t>
      </w:r>
      <w:r>
        <w:rPr>
          <w:rStyle w:val="FootnoteReference"/>
          <w:rFonts w:ascii="Times New Roman" w:eastAsia="Times New Roman" w:hAnsi="Times New Roman" w:cs="Times New Roman"/>
          <w:sz w:val="24"/>
          <w:szCs w:val="24"/>
        </w:rPr>
        <w:footnoteReference w:id="5"/>
      </w:r>
    </w:p>
    <w:p w14:paraId="3452B1C6" w14:textId="77777777" w:rsidR="00FA7F86" w:rsidRDefault="00FA7F86" w:rsidP="00FA7F86">
      <w:pPr>
        <w:spacing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THR keagamaan adalah pendapatan non upah yang wajib diberikan pengusaha kepada pekerja atau keluarga mereka menjelang hari raya keagamaan pekerja. Ini berlaku untuk pekerja yang telah bekerja selama 12 (dua belas) bulan</w:t>
      </w:r>
      <w:r>
        <w:rPr>
          <w:rFonts w:ascii="Times New Roman" w:eastAsia="Times New Roman" w:hAnsi="Times New Roman" w:cs="Times New Roman"/>
          <w:sz w:val="24"/>
          <w:szCs w:val="24"/>
          <w:lang w:val="id-ID"/>
        </w:rPr>
        <w:t>, n</w:t>
      </w:r>
      <w:r>
        <w:rPr>
          <w:rFonts w:ascii="Times New Roman" w:eastAsia="Times New Roman" w:hAnsi="Times New Roman" w:cs="Times New Roman"/>
          <w:sz w:val="24"/>
          <w:szCs w:val="24"/>
        </w:rPr>
        <w:t>amun, pekerja yang bekerja selama minimal 1 (satu) bulan secara konsisten tetapi kurang dari 12 (dua belas) bulan berhak atas THR keagamaan proposional. Ini dihitung dengan membagi jumlah masa kerja dibagi 12 (dua belas) bulan di kali upah bulanan.</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Tidak boleh memberikan THR keagamaan lebih dari 7 (tujuh) hari sebelum hari raya keagamaan. Ini dilakukan untuk meningkatkan kesejahteraan pekerja karena menyiapkan hari raya keagamaan relatif banyak sehingganya membutuhkan banyak uang.</w:t>
      </w:r>
      <w:r>
        <w:rPr>
          <w:rFonts w:ascii="Times New Roman" w:eastAsia="Times New Roman" w:hAnsi="Times New Roman" w:cs="Times New Roman"/>
          <w:sz w:val="24"/>
          <w:szCs w:val="24"/>
          <w:lang w:val="id-ID"/>
        </w:rPr>
        <w:t xml:space="preserve"> </w:t>
      </w:r>
    </w:p>
    <w:p w14:paraId="637AC787" w14:textId="77777777" w:rsidR="00FA7F86" w:rsidRDefault="00FA7F86" w:rsidP="00FA7F86">
      <w:pPr>
        <w:spacing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Oleh karena itu, pekerja sangat mengharapkan THR keagamaan diberikan. Namun,</w:t>
      </w:r>
      <w:r>
        <w:rPr>
          <w:rFonts w:ascii="Times New Roman" w:eastAsia="Times New Roman" w:hAnsi="Times New Roman" w:cs="Times New Roman"/>
          <w:sz w:val="24"/>
          <w:szCs w:val="24"/>
          <w:lang w:val="id-ID"/>
        </w:rPr>
        <w:t xml:space="preserve"> pengusaha tidak memberikan THR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kepada pekerja/buruh</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sehingga</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id-ID"/>
        </w:rPr>
        <w:t>d</w:t>
      </w:r>
      <w:r>
        <w:rPr>
          <w:rFonts w:ascii="Times New Roman" w:eastAsia="Times New Roman" w:hAnsi="Times New Roman" w:cs="Times New Roman"/>
          <w:sz w:val="24"/>
          <w:szCs w:val="24"/>
        </w:rPr>
        <w:t>alam hal ini, pekerja adalah pihak yang dirugikan</w:t>
      </w:r>
      <w:r>
        <w:rPr>
          <w:rFonts w:ascii="Times New Roman" w:eastAsia="Times New Roman" w:hAnsi="Times New Roman" w:cs="Times New Roman"/>
          <w:sz w:val="24"/>
          <w:szCs w:val="24"/>
          <w:lang w:val="id-ID"/>
        </w:rPr>
        <w:t xml:space="preserve"> mengingat</w:t>
      </w:r>
      <w:r>
        <w:rPr>
          <w:rFonts w:ascii="Times New Roman" w:eastAsia="Times New Roman" w:hAnsi="Times New Roman" w:cs="Times New Roman"/>
          <w:sz w:val="24"/>
          <w:szCs w:val="24"/>
        </w:rPr>
        <w:t xml:space="preserve"> karena THR sangat dibutuhkan di tengah kenaikan harga bahan pokok menjelang hari raya keagamaan</w:t>
      </w:r>
      <w:r>
        <w:rPr>
          <w:rFonts w:ascii="Times New Roman" w:eastAsia="Times New Roman" w:hAnsi="Times New Roman" w:cs="Times New Roman"/>
          <w:sz w:val="24"/>
          <w:szCs w:val="24"/>
          <w:lang w:val="id-ID"/>
        </w:rPr>
        <w:t xml:space="preserve"> tersebut</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id-ID"/>
        </w:rPr>
        <w:t xml:space="preserve"> </w:t>
      </w:r>
    </w:p>
    <w:p w14:paraId="784574A2" w14:textId="77777777" w:rsidR="00FA7F86" w:rsidRPr="00837F7E" w:rsidRDefault="00FA7F86" w:rsidP="00FA7F86">
      <w:pPr>
        <w:spacing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 xml:space="preserve">         PT GNI diresmikan oleh Presiden Joko widodo pada 27 desember 2021. Saat diresmikan, PT GNI telah menyerap lebih dari dari 10.000 pekerja. Penyerapan pekerja akan terus bertambah demi tercapainya adaptasi model bisnis, teknologi, dan transfer pengetahua di indonesia. Menurut rencana, jika seluruh proyek di dalam kawasan industri tempat PT GNI berada telah telah berjalan maka pekerja lokal yang terserap akan mencapai 60 ribu orang. Jumlah ini mencapai lebih dari 90 persen dari kebutuhan pekerja  indonesia yang akan menempati posisi pekerjaan seluruh lapisan hingga tenaga manajerial di smelter.</w:t>
      </w:r>
    </w:p>
    <w:p w14:paraId="60DF5CD0" w14:textId="1B986EF4" w:rsidR="00FA7F86" w:rsidRDefault="00FA7F86" w:rsidP="00FA7F86">
      <w:pPr>
        <w:pBdr>
          <w:top w:val="nil"/>
          <w:left w:val="nil"/>
          <w:bottom w:val="nil"/>
          <w:right w:val="nil"/>
          <w:between w:val="nil"/>
        </w:pBd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Selain tidak mendapatkan THR, pekerja diwajibkan melaksanakan pekerjaannya. Kewajiban disini berarti pekerja diharuskan melakukan pekerjaan sebagaimana biasannya. Dan apabila pekerja/buruh tidak melaksanakan pekerjaannya maka tidak akan dibayarkan upahnya selama dia tidak melakukan pekerjaannya dan atau/akan diberikan teguran keras sesuai dengan peraturan perusahaan dan bahkan pemutusan hubungan kerja (PHK).</w:t>
      </w:r>
    </w:p>
    <w:p w14:paraId="74CF9F1F"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 xml:space="preserve">          Dalam hukum perdata, perbuatan melawan hukum adalah suatu perbuatan yang melanggar hak dan kewajiban orang lain atau jika seseorang bertindak berten-tangan dengan kewajiban hukumnya sendiri. Akibatnya, melanggar hukum sama dengan melanggar undang-undang. </w:t>
      </w:r>
    </w:p>
    <w:p w14:paraId="5C186C5C"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Tafsiran sempit ini merusak banyak kepentingan masyarakat, tetapi tidak dapat menuntut apa-apa.</w:t>
      </w:r>
    </w:p>
    <w:p w14:paraId="3001E841"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 xml:space="preserve">          Berdasarkan penjelasan di atas, dapat dipahami bahwa apabila memenuhi em-pat syarat berikut, suatu perbuatan dianggap melanggar hukum: </w:t>
      </w:r>
    </w:p>
    <w:p w14:paraId="5437CF7E"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a.</w:t>
      </w:r>
      <w:r w:rsidRPr="00FA7F86">
        <w:rPr>
          <w:rFonts w:ascii="EB Garamond" w:eastAsia="EB Garamond" w:hAnsi="EB Garamond" w:cs="EB Garamond"/>
          <w:noProof/>
          <w:color w:val="000000"/>
          <w:sz w:val="24"/>
          <w:szCs w:val="24"/>
          <w:lang w:val="id-ID"/>
        </w:rPr>
        <w:tab/>
        <w:t>Perbuatan itu harus melanggar hukum (onrechmatig)</w:t>
      </w:r>
    </w:p>
    <w:p w14:paraId="7C1FF25B"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b.</w:t>
      </w:r>
      <w:r w:rsidRPr="00FA7F86">
        <w:rPr>
          <w:rFonts w:ascii="EB Garamond" w:eastAsia="EB Garamond" w:hAnsi="EB Garamond" w:cs="EB Garamond"/>
          <w:noProof/>
          <w:color w:val="000000"/>
          <w:sz w:val="24"/>
          <w:szCs w:val="24"/>
          <w:lang w:val="id-ID"/>
        </w:rPr>
        <w:tab/>
        <w:t>Perbuatan itu harus menyebabkan kerugian</w:t>
      </w:r>
    </w:p>
    <w:p w14:paraId="70A1883D"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c.</w:t>
      </w:r>
      <w:r w:rsidRPr="00FA7F86">
        <w:rPr>
          <w:rFonts w:ascii="EB Garamond" w:eastAsia="EB Garamond" w:hAnsi="EB Garamond" w:cs="EB Garamond"/>
          <w:noProof/>
          <w:color w:val="000000"/>
          <w:sz w:val="24"/>
          <w:szCs w:val="24"/>
          <w:lang w:val="id-ID"/>
        </w:rPr>
        <w:tab/>
        <w:t>Perbuatan itu harus dilakukan dengan kesalahan</w:t>
      </w:r>
    </w:p>
    <w:p w14:paraId="7FF47DAC"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d.</w:t>
      </w:r>
      <w:r w:rsidRPr="00FA7F86">
        <w:rPr>
          <w:rFonts w:ascii="EB Garamond" w:eastAsia="EB Garamond" w:hAnsi="EB Garamond" w:cs="EB Garamond"/>
          <w:noProof/>
          <w:color w:val="000000"/>
          <w:sz w:val="24"/>
          <w:szCs w:val="24"/>
          <w:lang w:val="id-ID"/>
        </w:rPr>
        <w:tab/>
        <w:t xml:space="preserve">Harus ada hubungan kausal antara perbuatan dan kerugian yang timbul.    Sebuah tindakan tidak dapat digolongkan sebagai tindakan melawan hukum  jika salah satu syarat di atas tidak terpenuhi. </w:t>
      </w:r>
    </w:p>
    <w:p w14:paraId="618636E1"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 xml:space="preserve">          Ilmu hukum juga menyebutkan faktor-faktor yang menyebabkan perbuatan melawan  hukum, seperti:</w:t>
      </w:r>
    </w:p>
    <w:p w14:paraId="74F43844"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1.</w:t>
      </w:r>
      <w:r w:rsidRPr="00FA7F86">
        <w:rPr>
          <w:rFonts w:ascii="EB Garamond" w:eastAsia="EB Garamond" w:hAnsi="EB Garamond" w:cs="EB Garamond"/>
          <w:noProof/>
          <w:color w:val="000000"/>
          <w:sz w:val="24"/>
          <w:szCs w:val="24"/>
          <w:lang w:val="id-ID"/>
        </w:rPr>
        <w:tab/>
        <w:t>Faktor Kesengajaan</w:t>
      </w:r>
    </w:p>
    <w:p w14:paraId="581F836F"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 xml:space="preserve">          Unsur kesengajaan adalah melakukan perbuatan-perbuatan yang telah dilarang, namun dipaksakan untuk dilakukan padahal sudah mengetahui konsekuensi atau akibat yang akan ditanggung dari perbuatannya.unsur ini memiliki niat dalam hati dari pihak pelaku untuk menimbulkan kerugian tertentu bagi korban. Unsur kesengajaan meliputi:</w:t>
      </w:r>
    </w:p>
    <w:p w14:paraId="4C02278B"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lastRenderedPageBreak/>
        <w:t>a.</w:t>
      </w:r>
      <w:r w:rsidRPr="00FA7F86">
        <w:rPr>
          <w:rFonts w:ascii="EB Garamond" w:eastAsia="EB Garamond" w:hAnsi="EB Garamond" w:cs="EB Garamond"/>
          <w:noProof/>
          <w:color w:val="000000"/>
          <w:sz w:val="24"/>
          <w:szCs w:val="24"/>
          <w:lang w:val="id-ID"/>
        </w:rPr>
        <w:tab/>
        <w:t xml:space="preserve">Kesadaran untuk melakukan (keadaan pikiran), </w:t>
      </w:r>
    </w:p>
    <w:p w14:paraId="09B3E0C2"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b.</w:t>
      </w:r>
      <w:r w:rsidRPr="00FA7F86">
        <w:rPr>
          <w:rFonts w:ascii="EB Garamond" w:eastAsia="EB Garamond" w:hAnsi="EB Garamond" w:cs="EB Garamond"/>
          <w:noProof/>
          <w:color w:val="000000"/>
          <w:sz w:val="24"/>
          <w:szCs w:val="24"/>
          <w:lang w:val="id-ID"/>
        </w:rPr>
        <w:tab/>
        <w:t xml:space="preserve">Kesadaran tentang konsekuensi dari perbuatan, dan </w:t>
      </w:r>
    </w:p>
    <w:p w14:paraId="54C21D1C"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c.</w:t>
      </w:r>
      <w:r w:rsidRPr="00FA7F86">
        <w:rPr>
          <w:rFonts w:ascii="EB Garamond" w:eastAsia="EB Garamond" w:hAnsi="EB Garamond" w:cs="EB Garamond"/>
          <w:noProof/>
          <w:color w:val="000000"/>
          <w:sz w:val="24"/>
          <w:szCs w:val="24"/>
          <w:lang w:val="id-ID"/>
        </w:rPr>
        <w:tab/>
        <w:t xml:space="preserve">Kesadaran untuk melakukan bukan hanya untuk menimbulkan konsekuensi, tetapi juga percaya bahwa dengan tindakan tersebut "pasti" akan menimbulkan konsekuensi tersebut. </w:t>
      </w:r>
    </w:p>
    <w:p w14:paraId="35E3A293"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2.</w:t>
      </w:r>
      <w:r w:rsidRPr="00FA7F86">
        <w:rPr>
          <w:rFonts w:ascii="EB Garamond" w:eastAsia="EB Garamond" w:hAnsi="EB Garamond" w:cs="EB Garamond"/>
          <w:noProof/>
          <w:color w:val="000000"/>
          <w:sz w:val="24"/>
          <w:szCs w:val="24"/>
          <w:lang w:val="id-ID"/>
        </w:rPr>
        <w:tab/>
        <w:t>Faktor Kelalaian</w:t>
      </w:r>
    </w:p>
    <w:p w14:paraId="78E0AE5A"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 xml:space="preserve">          Perbuatan melawan hukum dengan unsur kelalaian berbeda dengan perbuatan melawan hukum dengan unsur kesengajaan. Perbuatan melawan hukum dengan unsur kelalaian tidak memiliki niat langsung pelaku un-tuk  menimbulkan kerugian  terhadap korban. unsur kelalaian adalah sebagai berikut:</w:t>
      </w:r>
    </w:p>
    <w:p w14:paraId="5E8DA170"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a.</w:t>
      </w:r>
      <w:r w:rsidRPr="00FA7F86">
        <w:rPr>
          <w:rFonts w:ascii="EB Garamond" w:eastAsia="EB Garamond" w:hAnsi="EB Garamond" w:cs="EB Garamond"/>
          <w:noProof/>
          <w:color w:val="000000"/>
          <w:sz w:val="24"/>
          <w:szCs w:val="24"/>
          <w:lang w:val="id-ID"/>
        </w:rPr>
        <w:tab/>
        <w:t xml:space="preserve">Adanya tindakan atau mengabaikan sesuatu yang seharusnya </w:t>
      </w:r>
    </w:p>
    <w:p w14:paraId="7A773182"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dilakukan</w:t>
      </w:r>
    </w:p>
    <w:p w14:paraId="49B330AD"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b.</w:t>
      </w:r>
      <w:r w:rsidRPr="00FA7F86">
        <w:rPr>
          <w:rFonts w:ascii="EB Garamond" w:eastAsia="EB Garamond" w:hAnsi="EB Garamond" w:cs="EB Garamond"/>
          <w:noProof/>
          <w:color w:val="000000"/>
          <w:sz w:val="24"/>
          <w:szCs w:val="24"/>
          <w:lang w:val="id-ID"/>
        </w:rPr>
        <w:tab/>
        <w:t>Adanya kewajiban kehatian, atau kewajiban kehatian</w:t>
      </w:r>
    </w:p>
    <w:p w14:paraId="7A5F3EC7"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c.</w:t>
      </w:r>
      <w:r w:rsidRPr="00FA7F86">
        <w:rPr>
          <w:rFonts w:ascii="EB Garamond" w:eastAsia="EB Garamond" w:hAnsi="EB Garamond" w:cs="EB Garamond"/>
          <w:noProof/>
          <w:color w:val="000000"/>
          <w:sz w:val="24"/>
          <w:szCs w:val="24"/>
          <w:lang w:val="id-ID"/>
        </w:rPr>
        <w:tab/>
        <w:t>Tidak dijalankan kewajiban kehati-hatian</w:t>
      </w:r>
    </w:p>
    <w:p w14:paraId="32F841A5"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d.</w:t>
      </w:r>
      <w:r w:rsidRPr="00FA7F86">
        <w:rPr>
          <w:rFonts w:ascii="EB Garamond" w:eastAsia="EB Garamond" w:hAnsi="EB Garamond" w:cs="EB Garamond"/>
          <w:noProof/>
          <w:color w:val="000000"/>
          <w:sz w:val="24"/>
          <w:szCs w:val="24"/>
          <w:lang w:val="id-ID"/>
        </w:rPr>
        <w:tab/>
        <w:t xml:space="preserve">Adanya kerugian bagi orang lain; dan </w:t>
      </w:r>
    </w:p>
    <w:p w14:paraId="78FB1966"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e.</w:t>
      </w:r>
      <w:r w:rsidRPr="00FA7F86">
        <w:rPr>
          <w:rFonts w:ascii="EB Garamond" w:eastAsia="EB Garamond" w:hAnsi="EB Garamond" w:cs="EB Garamond"/>
          <w:noProof/>
          <w:color w:val="000000"/>
          <w:sz w:val="24"/>
          <w:szCs w:val="24"/>
          <w:lang w:val="id-ID"/>
        </w:rPr>
        <w:tab/>
        <w:t xml:space="preserve">Ada hubungan sebab akibat antara perbuatan dan kerugian yang tim-bul. </w:t>
      </w:r>
    </w:p>
    <w:p w14:paraId="540A62AD"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r w:rsidRPr="00FA7F86">
        <w:rPr>
          <w:rFonts w:ascii="EB Garamond" w:eastAsia="EB Garamond" w:hAnsi="EB Garamond" w:cs="EB Garamond"/>
          <w:noProof/>
          <w:color w:val="000000"/>
          <w:sz w:val="24"/>
          <w:szCs w:val="24"/>
          <w:lang w:val="id-ID"/>
        </w:rPr>
        <w:t xml:space="preserve">          Maka dari uraian diatas diketahui bahwa perbuatan yang dilakukan oleh perusahaan tersebut telah memenuhi unsur-unsur perbuatan melawan hukum seperti yang tertuang dalam pasal 1367 KUHPerdata yang berisikan tentang “seseorang tidak hanya bertanggung jawab atas kerugian yang disebabkan perbuatannya sendiri, melainkan juga atas kerugian yang disebabkan barang barang yang berada di bawah pengawasannya”.</w:t>
      </w:r>
    </w:p>
    <w:p w14:paraId="7CBE7E2C" w14:textId="77777777" w:rsidR="00FA7F86" w:rsidRPr="00FA7F86" w:rsidRDefault="00FA7F86" w:rsidP="00FA7F86">
      <w:pPr>
        <w:pBdr>
          <w:top w:val="nil"/>
          <w:left w:val="nil"/>
          <w:bottom w:val="nil"/>
          <w:right w:val="nil"/>
          <w:between w:val="nil"/>
        </w:pBdr>
        <w:spacing w:after="0" w:line="360" w:lineRule="auto"/>
        <w:jc w:val="both"/>
        <w:rPr>
          <w:rFonts w:ascii="EB Garamond" w:eastAsia="EB Garamond" w:hAnsi="EB Garamond" w:cs="EB Garamond"/>
          <w:noProof/>
          <w:color w:val="000000"/>
          <w:sz w:val="24"/>
          <w:szCs w:val="24"/>
          <w:lang w:val="id-ID"/>
        </w:rPr>
      </w:pPr>
    </w:p>
    <w:p w14:paraId="49BF5CD3" w14:textId="77777777" w:rsidR="00EC099A" w:rsidRPr="00F8014B" w:rsidRDefault="00EC099A" w:rsidP="00FA7F86">
      <w:pPr>
        <w:pBdr>
          <w:top w:val="nil"/>
          <w:left w:val="nil"/>
          <w:bottom w:val="nil"/>
          <w:right w:val="nil"/>
          <w:between w:val="nil"/>
        </w:pBdr>
        <w:spacing w:after="0" w:line="240" w:lineRule="auto"/>
        <w:ind w:left="2410" w:firstLine="283"/>
        <w:jc w:val="both"/>
        <w:rPr>
          <w:rFonts w:ascii="EB Garamond" w:eastAsia="EB Garamond" w:hAnsi="EB Garamond" w:cs="EB Garamond"/>
          <w:color w:val="000000"/>
          <w:sz w:val="24"/>
          <w:szCs w:val="24"/>
          <w:lang w:val="id-ID"/>
        </w:rPr>
      </w:pPr>
    </w:p>
    <w:p w14:paraId="4D58F2A7" w14:textId="76CCDDFA" w:rsidR="00EC099A" w:rsidRPr="00F8014B" w:rsidRDefault="007F6372" w:rsidP="00072F8D">
      <w:pPr>
        <w:pBdr>
          <w:top w:val="nil"/>
          <w:left w:val="nil"/>
          <w:bottom w:val="nil"/>
          <w:right w:val="nil"/>
          <w:between w:val="nil"/>
        </w:pBdr>
        <w:spacing w:after="0" w:line="240" w:lineRule="auto"/>
        <w:jc w:val="both"/>
        <w:outlineLvl w:val="0"/>
        <w:rPr>
          <w:b/>
          <w:color w:val="000000"/>
          <w:sz w:val="24"/>
          <w:szCs w:val="24"/>
          <w:lang w:val="id-ID"/>
        </w:rPr>
      </w:pPr>
      <w:r>
        <w:rPr>
          <w:b/>
          <w:color w:val="164A41"/>
          <w:sz w:val="24"/>
          <w:szCs w:val="24"/>
          <w:lang w:val="en-GB"/>
        </w:rPr>
        <w:t>Pembahasan</w:t>
      </w:r>
    </w:p>
    <w:p w14:paraId="6861CF00" w14:textId="77777777" w:rsidR="00EC099A" w:rsidRPr="00F8014B" w:rsidRDefault="00EC099A">
      <w:pPr>
        <w:spacing w:after="0" w:line="240" w:lineRule="auto"/>
        <w:jc w:val="both"/>
        <w:rPr>
          <w:rFonts w:ascii="Corbel" w:eastAsia="Corbel" w:hAnsi="Corbel" w:cs="Corbel"/>
          <w:sz w:val="24"/>
          <w:szCs w:val="24"/>
          <w:lang w:val="id-ID"/>
        </w:rPr>
      </w:pPr>
    </w:p>
    <w:p w14:paraId="7C8854DF" w14:textId="0FA213C3" w:rsidR="007F6372" w:rsidRDefault="00FA7F86" w:rsidP="007F6372">
      <w:pPr>
        <w:pBdr>
          <w:top w:val="nil"/>
          <w:left w:val="nil"/>
          <w:bottom w:val="nil"/>
          <w:right w:val="nil"/>
          <w:between w:val="nil"/>
        </w:pBdr>
        <w:spacing w:after="0" w:line="240" w:lineRule="auto"/>
        <w:jc w:val="both"/>
        <w:rPr>
          <w:rFonts w:ascii="Times New Roman" w:hAnsi="Times New Roman" w:cs="Times New Roman"/>
          <w:b/>
          <w:sz w:val="24"/>
          <w:szCs w:val="24"/>
          <w:lang w:val="id-ID"/>
        </w:rPr>
      </w:pPr>
      <w:r>
        <w:rPr>
          <w:rFonts w:ascii="Times New Roman" w:eastAsia="Times New Roman" w:hAnsi="Times New Roman" w:cs="Times New Roman"/>
          <w:b/>
          <w:color w:val="000000"/>
          <w:sz w:val="24"/>
          <w:szCs w:val="24"/>
          <w:lang w:val="id-ID"/>
        </w:rPr>
        <w:t>Upaya Hukum Pekerja Yang Tidak Dibayarkan Tunjangan Hari Raya Oleh PT</w:t>
      </w:r>
      <w:r>
        <w:rPr>
          <w:rFonts w:ascii="Times New Roman" w:hAnsi="Times New Roman" w:cs="Times New Roman"/>
          <w:b/>
          <w:sz w:val="24"/>
          <w:szCs w:val="24"/>
          <w:lang w:val="id-ID"/>
        </w:rPr>
        <w:t xml:space="preserve"> Gunbuster Nickel Industri (GNI) Sulawesi Tengah</w:t>
      </w:r>
    </w:p>
    <w:p w14:paraId="57DCD5DD" w14:textId="77777777" w:rsidR="00FA7F86" w:rsidRDefault="00FA7F86" w:rsidP="007F6372">
      <w:pPr>
        <w:pBdr>
          <w:top w:val="nil"/>
          <w:left w:val="nil"/>
          <w:bottom w:val="nil"/>
          <w:right w:val="nil"/>
          <w:between w:val="nil"/>
        </w:pBdr>
        <w:spacing w:after="0" w:line="240" w:lineRule="auto"/>
        <w:jc w:val="both"/>
        <w:rPr>
          <w:rFonts w:ascii="Times New Roman" w:hAnsi="Times New Roman" w:cs="Times New Roman"/>
          <w:b/>
          <w:sz w:val="24"/>
          <w:szCs w:val="24"/>
          <w:lang w:val="id-ID"/>
        </w:rPr>
      </w:pPr>
    </w:p>
    <w:p w14:paraId="5B8D7807" w14:textId="4B3242D9" w:rsidR="00FA7F86" w:rsidRDefault="00FA7F86" w:rsidP="00FA7F86">
      <w:pPr>
        <w:pBdr>
          <w:top w:val="nil"/>
          <w:left w:val="nil"/>
          <w:bottom w:val="nil"/>
          <w:right w:val="nil"/>
          <w:between w:val="nil"/>
        </w:pBd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Non Litigasi</w:t>
      </w:r>
    </w:p>
    <w:p w14:paraId="5A30F032" w14:textId="77777777" w:rsidR="00FA7F86" w:rsidRPr="008653CC" w:rsidRDefault="00FA7F86" w:rsidP="00FA7F86">
      <w:pPr>
        <w:spacing w:before="240" w:after="0" w:line="360" w:lineRule="auto"/>
        <w:jc w:val="both"/>
        <w:rPr>
          <w:rFonts w:ascii="Times New Roman" w:eastAsia="Times New Roman" w:hAnsi="Times New Roman" w:cs="Times New Roman"/>
          <w:i/>
          <w:sz w:val="24"/>
          <w:szCs w:val="24"/>
          <w:lang w:val="id-ID"/>
        </w:rPr>
      </w:pPr>
      <w:r>
        <w:rPr>
          <w:rFonts w:ascii="Times New Roman" w:eastAsia="Times New Roman" w:hAnsi="Times New Roman" w:cs="Times New Roman"/>
          <w:sz w:val="24"/>
          <w:szCs w:val="24"/>
          <w:lang w:val="id-ID"/>
        </w:rPr>
        <w:lastRenderedPageBreak/>
        <w:t xml:space="preserve">          </w:t>
      </w:r>
      <w:r w:rsidRPr="008653CC">
        <w:rPr>
          <w:rFonts w:ascii="Times New Roman" w:eastAsia="Times New Roman" w:hAnsi="Times New Roman" w:cs="Times New Roman"/>
          <w:sz w:val="24"/>
          <w:szCs w:val="24"/>
          <w:lang w:val="id-ID"/>
        </w:rPr>
        <w:t xml:space="preserve">Berdasarkan Wawancara yang dilakukan peneliti dengan bapak </w:t>
      </w:r>
      <w:r>
        <w:rPr>
          <w:rFonts w:ascii="Times New Roman" w:eastAsia="Times New Roman" w:hAnsi="Times New Roman" w:cs="Times New Roman"/>
          <w:sz w:val="24"/>
          <w:szCs w:val="24"/>
          <w:lang w:val="id-ID"/>
        </w:rPr>
        <w:t>A</w:t>
      </w:r>
      <w:r w:rsidRPr="008653CC">
        <w:rPr>
          <w:rFonts w:ascii="Times New Roman" w:eastAsia="Times New Roman" w:hAnsi="Times New Roman" w:cs="Times New Roman"/>
          <w:sz w:val="24"/>
          <w:szCs w:val="24"/>
          <w:lang w:val="id-ID"/>
        </w:rPr>
        <w:t xml:space="preserve">mran terkait dengan apakah pernah ada upaya hukum yang dilakukan perusahaan terkait </w:t>
      </w:r>
      <w:r>
        <w:rPr>
          <w:rFonts w:ascii="Times New Roman" w:eastAsia="Times New Roman" w:hAnsi="Times New Roman" w:cs="Times New Roman"/>
          <w:sz w:val="24"/>
          <w:szCs w:val="24"/>
          <w:lang w:val="id-ID"/>
        </w:rPr>
        <w:t>tidak adanya THR kepada pekerja</w:t>
      </w:r>
      <w:r w:rsidRPr="008653CC">
        <w:rPr>
          <w:rFonts w:ascii="Times New Roman" w:eastAsia="Times New Roman" w:hAnsi="Times New Roman" w:cs="Times New Roman"/>
          <w:sz w:val="24"/>
          <w:szCs w:val="24"/>
          <w:lang w:val="id-ID"/>
        </w:rPr>
        <w:t xml:space="preserve"> beliau mengatakan</w:t>
      </w:r>
      <w:r>
        <w:rPr>
          <w:rFonts w:ascii="Times New Roman" w:eastAsia="Times New Roman" w:hAnsi="Times New Roman" w:cs="Times New Roman"/>
          <w:sz w:val="24"/>
          <w:szCs w:val="24"/>
          <w:lang w:val="id-ID"/>
        </w:rPr>
        <w:t>:</w:t>
      </w:r>
      <w:r>
        <w:rPr>
          <w:rStyle w:val="FootnoteReference"/>
          <w:rFonts w:ascii="Times New Roman" w:eastAsia="Times New Roman" w:hAnsi="Times New Roman" w:cs="Times New Roman"/>
          <w:sz w:val="24"/>
          <w:szCs w:val="24"/>
          <w:lang w:val="id-ID"/>
        </w:rPr>
        <w:footnoteReference w:id="6"/>
      </w:r>
      <w:r w:rsidRPr="008653CC">
        <w:rPr>
          <w:rFonts w:ascii="Times New Roman" w:eastAsia="Times New Roman" w:hAnsi="Times New Roman" w:cs="Times New Roman"/>
          <w:i/>
          <w:sz w:val="24"/>
          <w:szCs w:val="24"/>
          <w:lang w:val="id-ID"/>
        </w:rPr>
        <w:t xml:space="preserve"> </w:t>
      </w:r>
    </w:p>
    <w:p w14:paraId="227B975E" w14:textId="77777777" w:rsidR="00FA7F86" w:rsidRPr="008653CC" w:rsidRDefault="00FA7F86" w:rsidP="00FA7F86">
      <w:pPr>
        <w:spacing w:before="240" w:after="0" w:line="360" w:lineRule="auto"/>
        <w:ind w:left="567"/>
        <w:jc w:val="both"/>
        <w:rPr>
          <w:rFonts w:ascii="Times New Roman" w:eastAsia="Times New Roman" w:hAnsi="Times New Roman" w:cs="Times New Roman"/>
          <w:sz w:val="24"/>
          <w:szCs w:val="24"/>
          <w:lang w:val="id-ID"/>
        </w:rPr>
      </w:pPr>
      <w:r>
        <w:rPr>
          <w:rFonts w:ascii="Times New Roman" w:eastAsia="Times New Roman" w:hAnsi="Times New Roman" w:cs="Times New Roman"/>
          <w:i/>
          <w:sz w:val="24"/>
          <w:szCs w:val="24"/>
          <w:lang w:val="id-ID"/>
        </w:rPr>
        <w:t>Upaya hukum berupa musyawarah bersama antara pihak perusahaan dan pekerja, yang mana sebelumnya gaji yang diterima perbulan sebesar 4.000.000. dengan adanya pekerja yang merasa di rugikan berdasarkan musyawarah bersama antara pekerja dan perusahaan maka pihak perusahaan menaikan gaji yang diterima sebesar 5.000.000. sehingga dengan gaji yang pekerja rasa cukup mereka tidak mempermasalahkan lagi THR tersebut, dan setiap yang melamar kerja sudah di beritahun bahwa tidak ada thr di perusahaan tersebut.</w:t>
      </w:r>
    </w:p>
    <w:p w14:paraId="7A6AA585" w14:textId="77777777" w:rsidR="00FA7F86" w:rsidRPr="002605BD" w:rsidRDefault="00FA7F86" w:rsidP="00FA7F86">
      <w:p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i/>
          <w:sz w:val="24"/>
          <w:szCs w:val="24"/>
          <w:lang w:val="id-ID"/>
        </w:rPr>
        <w:t xml:space="preserve">          </w:t>
      </w:r>
      <w:r>
        <w:rPr>
          <w:rFonts w:ascii="Times New Roman" w:eastAsia="Times New Roman" w:hAnsi="Times New Roman" w:cs="Times New Roman"/>
          <w:sz w:val="24"/>
          <w:szCs w:val="24"/>
          <w:lang w:val="id-ID"/>
        </w:rPr>
        <w:t xml:space="preserve">Berdasarkan hasil wawancara diatas, bahwa Sebelumnya pernah ada pekerja yang merasa dirugikan dengan tidak dibayarkan THR keagamaan, sehingganya pernah dilakukan upaya Nonlitigasi yang dilakukan perusahaan terhadap pekerja berupa musyawarah mufakat dari kedua belah pihak yang bersengketa, dikarenakan sebelumnya ada pekerja yang merasa dirugikan dengan tidak diberikan THR, namun pekerja memilih menyelesaikan permasalahan diluar pengadilan atau penyelesaian Nonlitigasi. </w:t>
      </w:r>
      <w:r w:rsidRPr="002605BD">
        <w:rPr>
          <w:rFonts w:ascii="Times New Roman" w:eastAsia="Times New Roman" w:hAnsi="Times New Roman" w:cs="Times New Roman"/>
          <w:sz w:val="24"/>
          <w:szCs w:val="24"/>
          <w:lang w:val="id-ID"/>
        </w:rPr>
        <w:t>Penyelesaian nonlitigasi merupakan penyelesaian sengketa yang dilakukan menggunakan cara-cara yang ada diluar pengadilan atau yang biasa disebut dengan lembaga alternatif penyelesaian sengketa.</w:t>
      </w:r>
    </w:p>
    <w:p w14:paraId="685CDE3E" w14:textId="77777777" w:rsidR="00FA7F86" w:rsidRPr="002605BD" w:rsidRDefault="00FA7F86" w:rsidP="00FA7F86">
      <w:pPr>
        <w:pStyle w:val="NormalWeb"/>
        <w:shd w:val="clear" w:color="auto" w:fill="FFFFFF"/>
        <w:spacing w:before="240" w:beforeAutospacing="0" w:after="150" w:afterAutospacing="0" w:line="360" w:lineRule="auto"/>
        <w:jc w:val="both"/>
        <w:rPr>
          <w:lang w:val="id-ID"/>
        </w:rPr>
      </w:pPr>
      <w:r w:rsidRPr="002605BD">
        <w:rPr>
          <w:lang w:val="id-ID"/>
        </w:rPr>
        <w:t xml:space="preserve">          </w:t>
      </w:r>
      <w:r w:rsidRPr="002605BD">
        <w:t>Penyelesaian sengketa di jalur non litigasi ada berbagai bentuk. Salah satunya adalah </w:t>
      </w:r>
      <w:r w:rsidRPr="002605BD">
        <w:rPr>
          <w:bCs/>
        </w:rPr>
        <w:t xml:space="preserve">arbitrase. Arbitrase, menurut UU </w:t>
      </w:r>
      <w:r w:rsidRPr="002605BD">
        <w:rPr>
          <w:bCs/>
          <w:lang w:val="id-ID"/>
        </w:rPr>
        <w:t xml:space="preserve">No 30 Tahun 1999 </w:t>
      </w:r>
      <w:r w:rsidRPr="002605BD">
        <w:rPr>
          <w:bCs/>
        </w:rPr>
        <w:t>adalah cara penyelesaian suatu sengketa perdata di luar peradilan umum yang didasarkan pada perjanjian arbitrase yang dibuat secara tertulis oleh para pihak yang bersengketa.</w:t>
      </w:r>
      <w:r>
        <w:rPr>
          <w:lang w:val="id-ID"/>
        </w:rPr>
        <w:t xml:space="preserve"> </w:t>
      </w:r>
      <w:r w:rsidRPr="002605BD">
        <w:t>Selain arbitrase, ada berbagai bentuk penyelesaian sengketa non litigasi diantaranya adalah </w:t>
      </w:r>
      <w:r w:rsidRPr="002605BD">
        <w:rPr>
          <w:bCs/>
        </w:rPr>
        <w:t>konsultasi, negosiasi, mediasi, konsiliasi, atau penilaian ahli</w:t>
      </w:r>
      <w:r w:rsidRPr="002605BD">
        <w:t>.</w:t>
      </w:r>
      <w:r>
        <w:rPr>
          <w:lang w:val="id-ID"/>
        </w:rPr>
        <w:t xml:space="preserve"> Untuk lebih jelas penulis uraikan dibawah ini:</w:t>
      </w:r>
    </w:p>
    <w:p w14:paraId="1A0A04E2" w14:textId="77777777" w:rsidR="00FA7F86" w:rsidRDefault="00FA7F86" w:rsidP="00FA7F86">
      <w:pPr>
        <w:shd w:val="clear" w:color="auto" w:fill="FFFFFF"/>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Konsultasi</w:t>
      </w:r>
    </w:p>
    <w:p w14:paraId="09B80189" w14:textId="0D6A1DEF" w:rsidR="00FA7F86" w:rsidRPr="00FA7F86" w:rsidRDefault="00FA7F86" w:rsidP="00FA7F86">
      <w:pPr>
        <w:shd w:val="clear" w:color="auto" w:fill="FFFFFF"/>
        <w:spacing w:after="0" w:line="360" w:lineRule="auto"/>
        <w:jc w:val="both"/>
        <w:rPr>
          <w:rFonts w:ascii="Times New Roman" w:hAnsi="Times New Roman" w:cs="Times New Roman"/>
          <w:b/>
          <w:sz w:val="24"/>
          <w:szCs w:val="24"/>
        </w:rPr>
      </w:pPr>
      <w:r w:rsidRPr="00FA7F86">
        <w:rPr>
          <w:rFonts w:ascii="Times New Roman" w:hAnsi="Times New Roman" w:cs="Times New Roman"/>
          <w:sz w:val="24"/>
          <w:szCs w:val="24"/>
          <w:lang w:val="id-ID"/>
        </w:rPr>
        <w:t xml:space="preserve">  </w:t>
      </w:r>
      <w:r w:rsidRPr="00FA7F86">
        <w:rPr>
          <w:rFonts w:ascii="Times New Roman" w:hAnsi="Times New Roman" w:cs="Times New Roman"/>
          <w:sz w:val="24"/>
          <w:szCs w:val="24"/>
        </w:rPr>
        <w:t>Konsultasi</w:t>
      </w:r>
      <w:r w:rsidRPr="00FA7F86">
        <w:rPr>
          <w:rFonts w:ascii="Times New Roman" w:hAnsi="Times New Roman" w:cs="Times New Roman"/>
          <w:sz w:val="24"/>
          <w:szCs w:val="24"/>
          <w:lang w:val="id-ID"/>
        </w:rPr>
        <w:t xml:space="preserve"> </w:t>
      </w:r>
      <w:r w:rsidRPr="00FA7F86">
        <w:rPr>
          <w:rFonts w:ascii="Times New Roman" w:hAnsi="Times New Roman" w:cs="Times New Roman"/>
          <w:sz w:val="24"/>
          <w:szCs w:val="24"/>
        </w:rPr>
        <w:t xml:space="preserve">suatu tindakan yang bersifat personal antara pihak konsultan dan klien. Konsultan memberikan pendapatnya kepada klien tersebut untuk memenuhi keperluan dan kebutuhan kliennya tersebut. Peran dari konsultan dalam penyelesaian sengketa tidaklah dominan, konsultan hanya memberikan pendapat (hukum), sebagaimana yang diminta oleh kliennya, </w:t>
      </w:r>
      <w:r w:rsidRPr="00FA7F86">
        <w:rPr>
          <w:rFonts w:ascii="Times New Roman" w:hAnsi="Times New Roman" w:cs="Times New Roman"/>
          <w:sz w:val="24"/>
          <w:szCs w:val="24"/>
        </w:rPr>
        <w:lastRenderedPageBreak/>
        <w:t>yang untuk selanjutnya keputusan mengenai penyelesaian sengketa tersebut akan diambil sendiri oleh para pihak.</w:t>
      </w:r>
    </w:p>
    <w:p w14:paraId="71F6D093" w14:textId="77777777" w:rsidR="00FA7F86" w:rsidRDefault="00FA7F86" w:rsidP="00FA7F86">
      <w:pPr>
        <w:shd w:val="clear" w:color="auto" w:fill="FFFFFF"/>
        <w:spacing w:before="240" w:after="0" w:line="240" w:lineRule="auto"/>
        <w:jc w:val="both"/>
        <w:rPr>
          <w:rFonts w:ascii="Times New Roman" w:hAnsi="Times New Roman" w:cs="Times New Roman"/>
          <w:b/>
          <w:sz w:val="24"/>
          <w:szCs w:val="24"/>
          <w:lang w:val="id-ID"/>
        </w:rPr>
      </w:pPr>
      <w:r w:rsidRPr="00FA7F86">
        <w:rPr>
          <w:rFonts w:ascii="Times New Roman" w:hAnsi="Times New Roman" w:cs="Times New Roman"/>
          <w:b/>
          <w:sz w:val="24"/>
          <w:szCs w:val="24"/>
        </w:rPr>
        <w:t>Negosiasi</w:t>
      </w:r>
      <w:r w:rsidRPr="00FA7F86">
        <w:rPr>
          <w:rFonts w:ascii="Times New Roman" w:hAnsi="Times New Roman" w:cs="Times New Roman"/>
          <w:b/>
          <w:sz w:val="24"/>
          <w:szCs w:val="24"/>
          <w:lang w:val="id-ID"/>
        </w:rPr>
        <w:t xml:space="preserve"> </w:t>
      </w:r>
    </w:p>
    <w:p w14:paraId="1F59CC77" w14:textId="24AC9822" w:rsidR="00FA7F86" w:rsidRPr="00FA7F86" w:rsidRDefault="00FA7F86" w:rsidP="00FA7F86">
      <w:pPr>
        <w:shd w:val="clear" w:color="auto" w:fill="FFFFFF"/>
        <w:spacing w:before="240" w:after="0" w:line="360" w:lineRule="auto"/>
        <w:jc w:val="both"/>
        <w:rPr>
          <w:rFonts w:ascii="Times New Roman" w:hAnsi="Times New Roman" w:cs="Times New Roman"/>
          <w:b/>
          <w:sz w:val="24"/>
          <w:szCs w:val="24"/>
          <w:lang w:val="id-ID"/>
        </w:rPr>
      </w:pPr>
      <w:r w:rsidRPr="00FA7F86">
        <w:rPr>
          <w:rFonts w:ascii="Times New Roman" w:hAnsi="Times New Roman" w:cs="Times New Roman"/>
          <w:sz w:val="24"/>
          <w:szCs w:val="24"/>
          <w:lang w:val="id-ID"/>
        </w:rPr>
        <w:t xml:space="preserve"> </w:t>
      </w:r>
      <w:r w:rsidRPr="00FA7F86">
        <w:rPr>
          <w:rFonts w:ascii="Times New Roman" w:hAnsi="Times New Roman" w:cs="Times New Roman"/>
          <w:sz w:val="24"/>
          <w:szCs w:val="24"/>
        </w:rPr>
        <w:t>Secara harfiah negosiasi berarti musyawarah atau berunding</w:t>
      </w:r>
      <w:hyperlink r:id="rId17" w:history="1">
        <w:r w:rsidRPr="00FA7F86">
          <w:rPr>
            <w:rStyle w:val="Hyperlink"/>
            <w:rFonts w:ascii="Times New Roman" w:hAnsi="Times New Roman" w:cs="Times New Roman"/>
            <w:color w:val="auto"/>
            <w:sz w:val="24"/>
            <w:szCs w:val="24"/>
          </w:rPr>
          <w:t xml:space="preserve">. Negosiasi </w:t>
        </w:r>
        <w:r w:rsidRPr="00FA7F86">
          <w:rPr>
            <w:rStyle w:val="Hyperlink"/>
            <w:rFonts w:ascii="Times New Roman" w:hAnsi="Times New Roman" w:cs="Times New Roman"/>
            <w:color w:val="auto"/>
            <w:sz w:val="24"/>
            <w:szCs w:val="24"/>
            <w:lang w:val="id-ID"/>
          </w:rPr>
          <w:t xml:space="preserve">ini </w:t>
        </w:r>
        <w:r w:rsidRPr="00FA7F86">
          <w:rPr>
            <w:rStyle w:val="Hyperlink"/>
            <w:rFonts w:ascii="Times New Roman" w:hAnsi="Times New Roman" w:cs="Times New Roman"/>
            <w:color w:val="auto"/>
            <w:sz w:val="24"/>
            <w:szCs w:val="24"/>
          </w:rPr>
          <w:t>tidak lain adalah</w:t>
        </w:r>
      </w:hyperlink>
      <w:r w:rsidRPr="00FA7F86">
        <w:rPr>
          <w:rFonts w:ascii="Times New Roman" w:hAnsi="Times New Roman" w:cs="Times New Roman"/>
          <w:sz w:val="24"/>
          <w:szCs w:val="24"/>
        </w:rPr>
        <w:t> suatu bentuk penyelesaian sengketa oleh para pihak sendiri, tanpa bantuan pihak lain, dengan cara musyawarah atau berunding untuk mencari pemecahan yang dianggap adil oleh para pihak. Hal yang dicapai dari negosiasi berupa penyelesaian kompromi atau </w:t>
      </w:r>
      <w:r w:rsidRPr="00FA7F86">
        <w:rPr>
          <w:rStyle w:val="Emphasis"/>
          <w:rFonts w:ascii="Times New Roman" w:hAnsi="Times New Roman" w:cs="Times New Roman"/>
          <w:sz w:val="24"/>
          <w:szCs w:val="24"/>
        </w:rPr>
        <w:t>compromise solution</w:t>
      </w:r>
      <w:r w:rsidRPr="00FA7F86">
        <w:rPr>
          <w:rFonts w:ascii="Times New Roman" w:hAnsi="Times New Roman" w:cs="Times New Roman"/>
          <w:sz w:val="24"/>
          <w:szCs w:val="24"/>
        </w:rPr>
        <w:t>.</w:t>
      </w:r>
    </w:p>
    <w:p w14:paraId="7591BB4C" w14:textId="77777777" w:rsidR="00FA7F86" w:rsidRDefault="00FA7F86" w:rsidP="00FA7F86">
      <w:pPr>
        <w:shd w:val="clear" w:color="auto" w:fill="FFFFFF"/>
        <w:spacing w:after="150" w:line="360" w:lineRule="auto"/>
        <w:jc w:val="both"/>
        <w:rPr>
          <w:rFonts w:ascii="Times New Roman" w:hAnsi="Times New Roman" w:cs="Times New Roman"/>
          <w:b/>
          <w:sz w:val="24"/>
          <w:szCs w:val="24"/>
        </w:rPr>
      </w:pPr>
      <w:r w:rsidRPr="00FA7F86">
        <w:rPr>
          <w:rFonts w:ascii="Times New Roman" w:hAnsi="Times New Roman" w:cs="Times New Roman"/>
          <w:b/>
          <w:sz w:val="24"/>
          <w:szCs w:val="24"/>
        </w:rPr>
        <w:t>Medias</w:t>
      </w:r>
      <w:r>
        <w:rPr>
          <w:rFonts w:ascii="Times New Roman" w:hAnsi="Times New Roman" w:cs="Times New Roman"/>
          <w:b/>
          <w:sz w:val="24"/>
          <w:szCs w:val="24"/>
        </w:rPr>
        <w:t>i</w:t>
      </w:r>
    </w:p>
    <w:p w14:paraId="1C2A72CE" w14:textId="72CB4240" w:rsidR="00FA7F86" w:rsidRPr="00FA7F86" w:rsidRDefault="00FA7F86" w:rsidP="00FA7F86">
      <w:pPr>
        <w:shd w:val="clear" w:color="auto" w:fill="FFFFFF"/>
        <w:spacing w:after="150" w:line="360" w:lineRule="auto"/>
        <w:jc w:val="both"/>
        <w:rPr>
          <w:rFonts w:ascii="Times New Roman" w:hAnsi="Times New Roman" w:cs="Times New Roman"/>
          <w:b/>
          <w:sz w:val="24"/>
          <w:szCs w:val="24"/>
        </w:rPr>
      </w:pPr>
      <w:r w:rsidRPr="00FA7F86">
        <w:rPr>
          <w:rFonts w:ascii="Times New Roman" w:hAnsi="Times New Roman" w:cs="Times New Roman"/>
          <w:sz w:val="24"/>
          <w:szCs w:val="24"/>
          <w:lang w:val="id-ID"/>
        </w:rPr>
        <w:t xml:space="preserve"> </w:t>
      </w:r>
      <w:r w:rsidRPr="00FA7F86">
        <w:rPr>
          <w:rFonts w:ascii="Times New Roman" w:hAnsi="Times New Roman" w:cs="Times New Roman"/>
          <w:sz w:val="24"/>
          <w:szCs w:val="24"/>
        </w:rPr>
        <w:t>S</w:t>
      </w:r>
      <w:r w:rsidRPr="00FA7F86">
        <w:rPr>
          <w:rFonts w:ascii="Times New Roman" w:hAnsi="Times New Roman" w:cs="Times New Roman"/>
          <w:sz w:val="24"/>
          <w:szCs w:val="24"/>
          <w:lang w:val="id-ID"/>
        </w:rPr>
        <w:t>e</w:t>
      </w:r>
      <w:r w:rsidRPr="00FA7F86">
        <w:rPr>
          <w:rFonts w:ascii="Times New Roman" w:hAnsi="Times New Roman" w:cs="Times New Roman"/>
          <w:sz w:val="24"/>
          <w:szCs w:val="24"/>
        </w:rPr>
        <w:t>sua</w:t>
      </w:r>
      <w:r w:rsidRPr="00FA7F86">
        <w:rPr>
          <w:rFonts w:ascii="Times New Roman" w:hAnsi="Times New Roman" w:cs="Times New Roman"/>
          <w:sz w:val="24"/>
          <w:szCs w:val="24"/>
          <w:lang w:val="id-ID"/>
        </w:rPr>
        <w:t>i</w:t>
      </w:r>
      <w:r w:rsidRPr="00FA7F86">
        <w:rPr>
          <w:rFonts w:ascii="Times New Roman" w:hAnsi="Times New Roman" w:cs="Times New Roman"/>
          <w:sz w:val="24"/>
          <w:szCs w:val="24"/>
        </w:rPr>
        <w:t xml:space="preserve"> dengan </w:t>
      </w:r>
      <w:hyperlink r:id="rId18" w:history="1">
        <w:r w:rsidRPr="00FA7F86">
          <w:rPr>
            <w:rStyle w:val="Hyperlink"/>
            <w:rFonts w:ascii="Times New Roman" w:hAnsi="Times New Roman" w:cs="Times New Roman"/>
            <w:color w:val="auto"/>
            <w:sz w:val="24"/>
            <w:szCs w:val="24"/>
          </w:rPr>
          <w:t>Peraturan MA No. 1 Tahun 2016 Tentang Prosedur Mediasi di Pengadilan</w:t>
        </w:r>
      </w:hyperlink>
      <w:r w:rsidRPr="00FA7F86">
        <w:rPr>
          <w:rFonts w:ascii="Times New Roman" w:hAnsi="Times New Roman" w:cs="Times New Roman"/>
          <w:sz w:val="24"/>
          <w:szCs w:val="24"/>
        </w:rPr>
        <w:t> pada Pasal 1 Mediasi adalah cara penyelesaian sengketa melalui proses perundingan untuk memperoleh kesepakatan Para Pihak dengan dibantu oleh Mediator. </w:t>
      </w:r>
      <w:hyperlink r:id="rId19" w:history="1">
        <w:r w:rsidRPr="00FA7F86">
          <w:rPr>
            <w:rStyle w:val="Hyperlink"/>
            <w:rFonts w:ascii="Times New Roman" w:hAnsi="Times New Roman" w:cs="Times New Roman"/>
            <w:color w:val="auto"/>
            <w:sz w:val="24"/>
            <w:szCs w:val="24"/>
          </w:rPr>
          <w:t>di dalam PERMA No.1 Tahun 2008 ini mediasi menekankan bahwa yang penting di dalam sebuah mediasi itu adalah mediator</w:t>
        </w:r>
      </w:hyperlink>
      <w:r w:rsidRPr="00FA7F86">
        <w:rPr>
          <w:rFonts w:ascii="Times New Roman" w:hAnsi="Times New Roman" w:cs="Times New Roman"/>
          <w:sz w:val="24"/>
          <w:szCs w:val="24"/>
        </w:rPr>
        <w:t>. Mediator harus mampu mencari alternatif-alternatif penyelesaian sengketa tersebut. Apabila para pihak sudah tidak menemukan lagi jalan keluar untuk menyelesaikan sengketa tersebut maka mediator tersebut harus dapat memberikan solusi-solusi kepada para pihak. Solusi-solusi tersebut haruslah kesepakatan bersama dari si para pihak yang bersengketa. Disinilah terlihat jelas </w:t>
      </w:r>
      <w:hyperlink r:id="rId20" w:history="1">
        <w:r w:rsidRPr="00FA7F86">
          <w:rPr>
            <w:rStyle w:val="Hyperlink"/>
            <w:rFonts w:ascii="Times New Roman" w:hAnsi="Times New Roman" w:cs="Times New Roman"/>
            <w:color w:val="auto"/>
            <w:sz w:val="24"/>
            <w:szCs w:val="24"/>
          </w:rPr>
          <w:t>peran penting mediator</w:t>
        </w:r>
      </w:hyperlink>
      <w:r w:rsidRPr="00FA7F86">
        <w:rPr>
          <w:rFonts w:ascii="Times New Roman" w:hAnsi="Times New Roman" w:cs="Times New Roman"/>
          <w:sz w:val="24"/>
          <w:szCs w:val="24"/>
        </w:rPr>
        <w:t>.</w:t>
      </w:r>
    </w:p>
    <w:p w14:paraId="310A299A" w14:textId="77777777" w:rsidR="00FA7F86" w:rsidRDefault="00FA7F86" w:rsidP="00FA7F86">
      <w:pPr>
        <w:shd w:val="clear" w:color="auto" w:fill="FFFFFF"/>
        <w:spacing w:after="150" w:line="360" w:lineRule="auto"/>
        <w:jc w:val="both"/>
        <w:rPr>
          <w:rFonts w:ascii="Times New Roman" w:hAnsi="Times New Roman" w:cs="Times New Roman"/>
          <w:b/>
          <w:sz w:val="24"/>
          <w:szCs w:val="24"/>
        </w:rPr>
      </w:pPr>
      <w:r w:rsidRPr="00FA7F86">
        <w:rPr>
          <w:rFonts w:ascii="Times New Roman" w:hAnsi="Times New Roman" w:cs="Times New Roman"/>
          <w:b/>
          <w:sz w:val="24"/>
          <w:szCs w:val="24"/>
        </w:rPr>
        <w:t>Konsiliasi</w:t>
      </w:r>
    </w:p>
    <w:p w14:paraId="7612F855" w14:textId="6DEABF00" w:rsidR="00FA7F86" w:rsidRPr="00FA7F86" w:rsidRDefault="00FA7F86" w:rsidP="00FA7F86">
      <w:pPr>
        <w:shd w:val="clear" w:color="auto" w:fill="FFFFFF"/>
        <w:spacing w:after="150" w:line="360" w:lineRule="auto"/>
        <w:jc w:val="both"/>
        <w:rPr>
          <w:rFonts w:ascii="Times New Roman" w:hAnsi="Times New Roman" w:cs="Times New Roman"/>
          <w:b/>
          <w:sz w:val="24"/>
          <w:szCs w:val="24"/>
        </w:rPr>
      </w:pPr>
      <w:r w:rsidRPr="00FA7F86">
        <w:rPr>
          <w:rFonts w:ascii="Times New Roman" w:hAnsi="Times New Roman" w:cs="Times New Roman"/>
          <w:sz w:val="24"/>
          <w:szCs w:val="24"/>
          <w:lang w:val="id-ID"/>
        </w:rPr>
        <w:t xml:space="preserve">   </w:t>
      </w:r>
      <w:r w:rsidRPr="00FA7F86">
        <w:rPr>
          <w:rFonts w:ascii="Times New Roman" w:hAnsi="Times New Roman" w:cs="Times New Roman"/>
          <w:sz w:val="24"/>
          <w:szCs w:val="24"/>
        </w:rPr>
        <w:t>Konsiliasi suatu proses penyelesaian sengketa alternatif yang melibatkan seorang pihak ketiga atau lebih, dimana pihak ketiga yang diikut sertakan untuk menyelesaikan sengketa seseorang. Pada praktiknya, proses penyelesaian sengketa melalui konsiliasi mempunyai kemiripan dengan mediasi, namun memiliki suatu perbedaan yaitu konsiliasi memiliki hukum acara yang lebih formal jika dibandingkan dengan mediasi. Karena dalam konsiliasi ada beberapa tahap yang biasanya harus dilalui, yaitu penyerahan sengketa kepada komisi konsiliasi, kemudian komisi akan mendengarkan keterangan lisan para pihak, dan berdasarkan fakta-fakta yang diberikan oleh para pihak secara lisan tersebut komisi konsiliasi akan menyerahkan laporan kepada para pihak disertai dengan kesimpulan dan usulan penyelesaian sengketa.</w:t>
      </w:r>
    </w:p>
    <w:p w14:paraId="50CDBE9A" w14:textId="77777777" w:rsidR="00FA7F86" w:rsidRDefault="00FA7F86" w:rsidP="00FA7F86">
      <w:p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Dari hasil musyawarah bersama antara pekerja dan perusahaan maka telah di sepakati bersama yang mana sebelumnya gaji yang diterima perbulan sebesar 4.000.000 menjadi </w:t>
      </w:r>
      <w:r>
        <w:rPr>
          <w:rFonts w:ascii="Times New Roman" w:eastAsia="Times New Roman" w:hAnsi="Times New Roman" w:cs="Times New Roman"/>
          <w:sz w:val="24"/>
          <w:szCs w:val="24"/>
          <w:lang w:val="id-ID"/>
        </w:rPr>
        <w:lastRenderedPageBreak/>
        <w:t>5.000.000 sehingganya pekerja tidak lagi menuntut THR tersebut sesuai dengan hasil musyawarah bersama antra pekerja dan perusahaan.</w:t>
      </w:r>
    </w:p>
    <w:p w14:paraId="0015FF2D" w14:textId="77777777" w:rsidR="00FA7F86" w:rsidRDefault="00FA7F86" w:rsidP="00FA7F86">
      <w:p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Perbuatan hukum tentang tidak membayarkan tunjangan hari raya yang di lakukan PT Gunbuster Nickel Induustri Sulawesi Tengah merupakan hal tidak sesuai dengan peraturan menteri ketenagakerjaan (permenaker) Nomor 6 Tahun 2016 Tentang THR keagamaan bagi pekerja/buruh diperusahaan, THR Keagamaan merupakan pendapatan non upah yang wajib dibayarkan oleh pengusaha kepada pekerja menjelang hari raya keagamaan.</w:t>
      </w:r>
    </w:p>
    <w:p w14:paraId="66EB2408" w14:textId="77777777" w:rsidR="00FA7F86" w:rsidRPr="008D0227" w:rsidRDefault="00FA7F86" w:rsidP="00FA7F86">
      <w:pPr>
        <w:shd w:val="clear" w:color="auto" w:fill="FFFFFF"/>
        <w:tabs>
          <w:tab w:val="left" w:pos="1418"/>
        </w:tabs>
        <w:spacing w:before="240" w:after="0" w:line="360" w:lineRule="auto"/>
        <w:jc w:val="both"/>
        <w:rPr>
          <w:rFonts w:ascii="Times New Roman" w:hAnsi="Times New Roman" w:cs="Times New Roman"/>
          <w:color w:val="000000"/>
          <w:sz w:val="24"/>
          <w:szCs w:val="24"/>
          <w:shd w:val="clear" w:color="auto" w:fill="FFFFFF"/>
          <w:lang w:val="id-ID"/>
        </w:rPr>
      </w:pPr>
      <w:r>
        <w:rPr>
          <w:rFonts w:ascii="Times New Roman" w:eastAsia="Times New Roman" w:hAnsi="Times New Roman" w:cs="Times New Roman"/>
          <w:sz w:val="24"/>
          <w:szCs w:val="24"/>
          <w:lang w:val="id-ID"/>
        </w:rPr>
        <w:t xml:space="preserve">          </w:t>
      </w:r>
      <w:r w:rsidRPr="00BD5F67">
        <w:rPr>
          <w:rFonts w:ascii="Times New Roman" w:eastAsia="Times New Roman" w:hAnsi="Times New Roman" w:cs="Times New Roman"/>
          <w:sz w:val="24"/>
          <w:szCs w:val="24"/>
          <w:lang w:val="id-ID"/>
        </w:rPr>
        <w:t>Perusahaan dan pekerja telah melakukan kesepakatan bersama mengenai THR yag mana telah dilakukan musyawarah bersama dan</w:t>
      </w:r>
      <w:r>
        <w:rPr>
          <w:rFonts w:ascii="Times New Roman" w:eastAsia="Times New Roman" w:hAnsi="Times New Roman" w:cs="Times New Roman"/>
          <w:sz w:val="24"/>
          <w:szCs w:val="24"/>
          <w:lang w:val="id-ID"/>
        </w:rPr>
        <w:t xml:space="preserve"> telah disepakati secara bersama-sama,</w:t>
      </w:r>
      <w:r w:rsidRPr="00BD5F67">
        <w:rPr>
          <w:rFonts w:ascii="Times New Roman" w:eastAsia="Times New Roman" w:hAnsi="Times New Roman" w:cs="Times New Roman"/>
          <w:sz w:val="24"/>
          <w:szCs w:val="24"/>
          <w:lang w:val="id-ID"/>
        </w:rPr>
        <w:t xml:space="preserve"> </w:t>
      </w:r>
      <w:r>
        <w:rPr>
          <w:rFonts w:ascii="Times New Roman" w:hAnsi="Times New Roman" w:cs="Times New Roman"/>
          <w:color w:val="000000"/>
          <w:sz w:val="24"/>
          <w:szCs w:val="24"/>
          <w:shd w:val="clear" w:color="auto" w:fill="FFFFFF"/>
          <w:lang w:val="id-ID"/>
        </w:rPr>
        <w:t>m</w:t>
      </w:r>
      <w:r>
        <w:rPr>
          <w:rFonts w:ascii="Times New Roman" w:hAnsi="Times New Roman" w:cs="Times New Roman"/>
          <w:color w:val="000000"/>
          <w:sz w:val="24"/>
          <w:szCs w:val="24"/>
          <w:shd w:val="clear" w:color="auto" w:fill="FFFFFF"/>
        </w:rPr>
        <w:t xml:space="preserve">usyawarah </w:t>
      </w:r>
      <w:r>
        <w:rPr>
          <w:rFonts w:ascii="Times New Roman" w:hAnsi="Times New Roman" w:cs="Times New Roman"/>
          <w:color w:val="000000"/>
          <w:sz w:val="24"/>
          <w:szCs w:val="24"/>
          <w:shd w:val="clear" w:color="auto" w:fill="FFFFFF"/>
          <w:lang w:val="id-ID"/>
        </w:rPr>
        <w:t>merupakan</w:t>
      </w:r>
      <w:r w:rsidRPr="00BD5F67">
        <w:rPr>
          <w:rFonts w:ascii="Times New Roman" w:hAnsi="Times New Roman" w:cs="Times New Roman"/>
          <w:color w:val="000000"/>
          <w:sz w:val="24"/>
          <w:szCs w:val="24"/>
          <w:shd w:val="clear" w:color="auto" w:fill="FFFFFF"/>
        </w:rPr>
        <w:t xml:space="preserve"> kegiatan membahas ataupun berdiskusi dengan tujuan mencapai keputusan dan penyelesaian masalah</w:t>
      </w:r>
      <w:r w:rsidRPr="00BD5F67">
        <w:rPr>
          <w:rFonts w:ascii="Times New Roman" w:hAnsi="Times New Roman" w:cs="Times New Roman"/>
          <w:color w:val="000000"/>
          <w:sz w:val="24"/>
          <w:szCs w:val="24"/>
          <w:shd w:val="clear" w:color="auto" w:fill="FFFFFF"/>
          <w:lang w:val="id-ID"/>
        </w:rPr>
        <w:t xml:space="preserve"> secara besama</w:t>
      </w:r>
      <w:r>
        <w:rPr>
          <w:rFonts w:ascii="Times New Roman" w:hAnsi="Times New Roman" w:cs="Times New Roman"/>
          <w:color w:val="000000"/>
          <w:sz w:val="24"/>
          <w:szCs w:val="24"/>
          <w:shd w:val="clear" w:color="auto" w:fill="FFFFFF"/>
          <w:lang w:val="id-ID"/>
        </w:rPr>
        <w:t>-</w:t>
      </w:r>
      <w:r w:rsidRPr="00BD5F67">
        <w:rPr>
          <w:rFonts w:ascii="Times New Roman" w:hAnsi="Times New Roman" w:cs="Times New Roman"/>
          <w:color w:val="000000"/>
          <w:sz w:val="24"/>
          <w:szCs w:val="24"/>
          <w:shd w:val="clear" w:color="auto" w:fill="FFFFFF"/>
          <w:lang w:val="id-ID"/>
        </w:rPr>
        <w:t>sama</w:t>
      </w:r>
      <w:r>
        <w:rPr>
          <w:rFonts w:ascii="Times New Roman" w:hAnsi="Times New Roman" w:cs="Times New Roman"/>
          <w:color w:val="000000"/>
          <w:sz w:val="24"/>
          <w:szCs w:val="24"/>
          <w:shd w:val="clear" w:color="auto" w:fill="FFFFFF"/>
          <w:lang w:val="id-ID"/>
        </w:rPr>
        <w:t xml:space="preserve"> sehingga pekerja tidak keberatan atau telah menyepakati hasil dari musyawarah bersama tersebut</w:t>
      </w:r>
      <w:r w:rsidRPr="00BD5F67">
        <w:rPr>
          <w:rFonts w:ascii="Times New Roman" w:hAnsi="Times New Roman" w:cs="Times New Roman"/>
          <w:color w:val="000000"/>
          <w:sz w:val="24"/>
          <w:szCs w:val="24"/>
          <w:shd w:val="clear" w:color="auto" w:fill="FFFFFF"/>
        </w:rPr>
        <w:t>.</w:t>
      </w:r>
    </w:p>
    <w:p w14:paraId="65D23A12" w14:textId="77777777" w:rsidR="00FA7F86" w:rsidRPr="00383091" w:rsidRDefault="00FA7F86" w:rsidP="00FA7F86">
      <w:pPr>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Berdasarkan hasil wawancara Penulis dengan bapak  Amran</w:t>
      </w:r>
      <w:r w:rsidRPr="00383091">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lang w:val="id-ID"/>
        </w:rPr>
        <w:t xml:space="preserve">terkait dengan </w:t>
      </w:r>
      <w:r w:rsidRPr="00383091">
        <w:rPr>
          <w:rFonts w:ascii="Times New Roman" w:eastAsia="Times New Roman" w:hAnsi="Times New Roman" w:cs="Times New Roman"/>
          <w:sz w:val="24"/>
          <w:szCs w:val="24"/>
          <w:lang w:val="id-ID"/>
        </w:rPr>
        <w:t>Tunjangan Hari Raya (THR) yang tidak diberikan PT Gunbuster N</w:t>
      </w:r>
      <w:r>
        <w:rPr>
          <w:rFonts w:ascii="Times New Roman" w:eastAsia="Times New Roman" w:hAnsi="Times New Roman" w:cs="Times New Roman"/>
          <w:sz w:val="24"/>
          <w:szCs w:val="24"/>
          <w:lang w:val="id-ID"/>
        </w:rPr>
        <w:t>ickel Industry Sulawesi Tengah pada pokoknya mengatakan bahwa:</w:t>
      </w:r>
      <w:r>
        <w:rPr>
          <w:rStyle w:val="FootnoteReference"/>
          <w:rFonts w:ascii="Times New Roman" w:eastAsia="Times New Roman" w:hAnsi="Times New Roman" w:cs="Times New Roman"/>
          <w:sz w:val="24"/>
          <w:szCs w:val="24"/>
          <w:lang w:val="id-ID"/>
        </w:rPr>
        <w:footnoteReference w:id="7"/>
      </w:r>
    </w:p>
    <w:p w14:paraId="4D0AB2FC" w14:textId="77777777" w:rsidR="00FA7F86" w:rsidRPr="00415DB0" w:rsidRDefault="00FA7F86" w:rsidP="00FA7F86">
      <w:pPr>
        <w:spacing w:before="240" w:after="0" w:line="360" w:lineRule="auto"/>
        <w:ind w:left="567"/>
        <w:jc w:val="both"/>
        <w:rPr>
          <w:rFonts w:ascii="Times New Roman" w:eastAsia="Times New Roman" w:hAnsi="Times New Roman" w:cs="Times New Roman"/>
          <w:i/>
          <w:sz w:val="24"/>
          <w:szCs w:val="24"/>
          <w:lang w:val="id-ID"/>
        </w:rPr>
      </w:pPr>
      <w:r>
        <w:rPr>
          <w:rFonts w:ascii="Times New Roman" w:eastAsia="Times New Roman" w:hAnsi="Times New Roman" w:cs="Times New Roman"/>
          <w:i/>
          <w:sz w:val="24"/>
          <w:szCs w:val="24"/>
          <w:lang w:val="id-ID"/>
        </w:rPr>
        <w:t>M</w:t>
      </w:r>
      <w:r w:rsidRPr="00717FAB">
        <w:rPr>
          <w:rFonts w:ascii="Times New Roman" w:eastAsia="Times New Roman" w:hAnsi="Times New Roman" w:cs="Times New Roman"/>
          <w:i/>
          <w:sz w:val="24"/>
          <w:szCs w:val="24"/>
          <w:lang w:val="id-ID"/>
        </w:rPr>
        <w:t>emang sudah menjadi kesepakatan bersama antara perusahan dan pekerja, kesepakatan dibuat oleh perusahaan dari mulai pekerja melamar kerja atau belum melakukan pekerjaannya, perusahaan sudah memberitahu bahwa di perusahaan tersebut tidak adanya tunjangan hari raya keagamaan untuk pekerja.</w:t>
      </w:r>
      <w:r>
        <w:rPr>
          <w:rFonts w:ascii="Times New Roman" w:eastAsia="Times New Roman" w:hAnsi="Times New Roman" w:cs="Times New Roman"/>
          <w:i/>
          <w:sz w:val="24"/>
          <w:szCs w:val="24"/>
          <w:lang w:val="id-ID"/>
        </w:rPr>
        <w:t xml:space="preserve"> </w:t>
      </w:r>
      <w:r w:rsidRPr="00717FAB">
        <w:rPr>
          <w:rFonts w:ascii="Times New Roman" w:eastAsia="Times New Roman" w:hAnsi="Times New Roman" w:cs="Times New Roman"/>
          <w:i/>
          <w:sz w:val="24"/>
          <w:szCs w:val="24"/>
          <w:lang w:val="id-ID"/>
        </w:rPr>
        <w:t xml:space="preserve">Selanjutnya </w:t>
      </w:r>
      <w:r w:rsidRPr="00717FAB">
        <w:rPr>
          <w:rFonts w:ascii="Times New Roman" w:hAnsi="Times New Roman" w:cs="Times New Roman"/>
          <w:i/>
          <w:sz w:val="24"/>
          <w:szCs w:val="24"/>
          <w:lang w:val="id-ID"/>
        </w:rPr>
        <w:t>beliau</w:t>
      </w:r>
      <w:r w:rsidRPr="00717FAB">
        <w:rPr>
          <w:rFonts w:ascii="Times New Roman" w:eastAsia="Times New Roman" w:hAnsi="Times New Roman" w:cs="Times New Roman"/>
          <w:i/>
          <w:sz w:val="24"/>
          <w:szCs w:val="24"/>
          <w:lang w:val="id-ID"/>
        </w:rPr>
        <w:t xml:space="preserve"> mengatakan bahwa kesepakatan dibuat tanpa adanya paksaan dari pihak perusahaan dan murni kesepakatan bersama antara perusahaan dan pekerja. Walaupun demikian gaji pekerja sebesar Rp. 5.000.000 (lima juta) di terima setiap bulannya</w:t>
      </w:r>
      <w:r>
        <w:rPr>
          <w:rFonts w:ascii="Times New Roman" w:eastAsia="Times New Roman" w:hAnsi="Times New Roman" w:cs="Times New Roman"/>
          <w:i/>
          <w:sz w:val="24"/>
          <w:szCs w:val="24"/>
          <w:lang w:val="id-ID"/>
        </w:rPr>
        <w:t>”</w:t>
      </w:r>
    </w:p>
    <w:p w14:paraId="2E813D59" w14:textId="77777777" w:rsidR="00FA7F86" w:rsidRDefault="00FA7F86" w:rsidP="00FA7F86">
      <w:pPr>
        <w:shd w:val="clear" w:color="auto" w:fill="FFFFFF"/>
        <w:tabs>
          <w:tab w:val="left" w:pos="1418"/>
        </w:tabs>
        <w:spacing w:before="24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Pada dasarnya perusahaan hanya melakukan kesepakatan yang telah dibuat bersama dari awal antara pekerja dan perusahaan jika sudah terjadinya kesepakatan bersama, maka pekerja sudah bisa melakukan aktifitas pekerjaannya. Aktifitas pekerjaan yang dimksud adalah melakukakan pekerjaannya sebagaimana yang dikerjakan diperusahaan tersebut. Jika kedua pihak sudah sepakat maka pekerja harus mematuhi segala ketentuan yang diatur oleh perusahaan yaitu salah satunya dengan tidak mengharapkan tunjangan hari raya keagaamaan pekerja, yang sebelumnya sudah menjadi kesepakatan bersama dari awal.</w:t>
      </w:r>
    </w:p>
    <w:p w14:paraId="2F1B43F8" w14:textId="77777777" w:rsidR="00FA7F86" w:rsidRDefault="00FA7F86" w:rsidP="00FA7F86">
      <w:pPr>
        <w:shd w:val="clear" w:color="auto" w:fill="FFFFFF"/>
        <w:tabs>
          <w:tab w:val="left" w:pos="1418"/>
        </w:tabs>
        <w:spacing w:before="240"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Kesepakatan berarti telah adanya kehendak serta persetujuan dari kedua belah pihak untuk membuat perjanjian sebagaimana yang dipertegas dalam pasal 1321 KUH Perdata, bahwa tidak ada suatu persetujuan pun yang mempunyai kekuatan dalam hal diberikan karena kekhilafan atau diperoleh dengan paksaan atau penipuan.</w:t>
      </w:r>
    </w:p>
    <w:p w14:paraId="440B4341" w14:textId="77777777" w:rsidR="00FA7F86" w:rsidRPr="00410663" w:rsidRDefault="00FA7F86" w:rsidP="00FA7F86">
      <w:pPr>
        <w:spacing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Semenjak adanya kesepakatan yang dibuat melaluai musyawarah bersama antara pihak perusahaan dan pekerja tersebut tidak ada lagi pekerja yang merasa dirugikan dengan tidak adanya THR di perusahaan tesebut. Dikarenakan gaji yang diterima pekerja rasa cukup untuk menghidupi keluarga mereka.</w:t>
      </w:r>
    </w:p>
    <w:p w14:paraId="7F1FFD5C" w14:textId="77777777" w:rsidR="00FA7F86" w:rsidRPr="00E63FE5" w:rsidRDefault="00FA7F86" w:rsidP="00FA7F86">
      <w:p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Pr>
          <w:rFonts w:ascii="Times New Roman" w:hAnsi="Times New Roman" w:cs="Times New Roman"/>
          <w:sz w:val="24"/>
          <w:szCs w:val="24"/>
          <w:lang w:val="id-ID"/>
        </w:rPr>
        <w:t xml:space="preserve">          </w:t>
      </w:r>
      <w:r w:rsidRPr="00E63FE5">
        <w:rPr>
          <w:rFonts w:ascii="Times New Roman" w:hAnsi="Times New Roman" w:cs="Times New Roman"/>
          <w:sz w:val="24"/>
          <w:szCs w:val="24"/>
          <w:lang w:val="id-ID"/>
        </w:rPr>
        <w:t>Sebagaimana hasil wawancara pen</w:t>
      </w:r>
      <w:r>
        <w:rPr>
          <w:rFonts w:ascii="Times New Roman" w:hAnsi="Times New Roman" w:cs="Times New Roman"/>
          <w:sz w:val="24"/>
          <w:szCs w:val="24"/>
          <w:lang w:val="id-ID"/>
        </w:rPr>
        <w:t>ul</w:t>
      </w:r>
      <w:r w:rsidRPr="00E63FE5">
        <w:rPr>
          <w:rFonts w:ascii="Times New Roman" w:hAnsi="Times New Roman" w:cs="Times New Roman"/>
          <w:sz w:val="24"/>
          <w:szCs w:val="24"/>
          <w:lang w:val="id-ID"/>
        </w:rPr>
        <w:t xml:space="preserve">is dengan pekerja </w:t>
      </w:r>
      <w:r>
        <w:rPr>
          <w:rFonts w:ascii="Times New Roman" w:eastAsia="Times New Roman" w:hAnsi="Times New Roman" w:cs="Times New Roman"/>
          <w:sz w:val="24"/>
          <w:szCs w:val="24"/>
          <w:lang w:val="id-ID"/>
        </w:rPr>
        <w:t>bapak Haikal</w:t>
      </w:r>
      <w:r w:rsidRPr="00E63FE5">
        <w:rPr>
          <w:rFonts w:ascii="Times New Roman" w:eastAsia="Times New Roman" w:hAnsi="Times New Roman" w:cs="Times New Roman"/>
          <w:sz w:val="24"/>
          <w:szCs w:val="24"/>
          <w:lang w:val="id-ID"/>
        </w:rPr>
        <w:t xml:space="preserve"> </w:t>
      </w:r>
      <w:r w:rsidRPr="00E63FE5">
        <w:rPr>
          <w:rFonts w:ascii="Times New Roman" w:hAnsi="Times New Roman" w:cs="Times New Roman"/>
          <w:sz w:val="24"/>
          <w:szCs w:val="24"/>
          <w:lang w:val="id-ID"/>
        </w:rPr>
        <w:t xml:space="preserve">terkait dengan </w:t>
      </w:r>
      <w:r w:rsidRPr="00E63FE5">
        <w:rPr>
          <w:rFonts w:ascii="Times New Roman" w:eastAsia="Times New Roman" w:hAnsi="Times New Roman" w:cs="Times New Roman"/>
          <w:sz w:val="24"/>
          <w:szCs w:val="24"/>
          <w:lang w:val="id-ID"/>
        </w:rPr>
        <w:t>tindakan apa yang dilakukan pekerja dengan tidak mendapatkan tunjangan hari raya keagamaan</w:t>
      </w:r>
      <w:r>
        <w:rPr>
          <w:rFonts w:ascii="Times New Roman" w:eastAsia="Times New Roman" w:hAnsi="Times New Roman" w:cs="Times New Roman"/>
          <w:sz w:val="24"/>
          <w:szCs w:val="24"/>
          <w:lang w:val="id-ID"/>
        </w:rPr>
        <w:t xml:space="preserve"> beliau mengatakan:</w:t>
      </w:r>
      <w:r>
        <w:rPr>
          <w:rStyle w:val="FootnoteReference"/>
          <w:rFonts w:ascii="Times New Roman" w:eastAsia="Times New Roman" w:hAnsi="Times New Roman" w:cs="Times New Roman"/>
          <w:sz w:val="24"/>
          <w:szCs w:val="24"/>
          <w:lang w:val="id-ID"/>
        </w:rPr>
        <w:footnoteReference w:id="8"/>
      </w:r>
    </w:p>
    <w:p w14:paraId="0947B015" w14:textId="77777777" w:rsidR="00FA7F86" w:rsidRDefault="00FA7F86" w:rsidP="00FA7F86">
      <w:pPr>
        <w:shd w:val="clear" w:color="auto" w:fill="FFFFFF"/>
        <w:tabs>
          <w:tab w:val="left" w:pos="1418"/>
        </w:tabs>
        <w:spacing w:after="0" w:line="360" w:lineRule="auto"/>
        <w:ind w:left="567"/>
        <w:jc w:val="both"/>
        <w:rPr>
          <w:rFonts w:ascii="Times New Roman" w:eastAsia="Times New Roman" w:hAnsi="Times New Roman" w:cs="Times New Roman"/>
          <w:i/>
          <w:sz w:val="24"/>
          <w:szCs w:val="24"/>
          <w:lang w:val="id-ID"/>
        </w:rPr>
      </w:pPr>
      <w:r>
        <w:rPr>
          <w:rFonts w:ascii="Times New Roman" w:eastAsia="Times New Roman" w:hAnsi="Times New Roman" w:cs="Times New Roman"/>
          <w:i/>
          <w:sz w:val="24"/>
          <w:szCs w:val="24"/>
          <w:lang w:val="id-ID"/>
        </w:rPr>
        <w:t>Dengan gaji yang pekerja rasa cukup untuk menghidupi kehidupan keluarganya semua berjalan bail-bik saja, kami sebagai pekerja tidak melakukan tindakan atau menuntut untuk diberikan tunjangan hari raya keagamaan. Kalaupun pekerja melanggar kesepakatan yang telah dibuat dari awal, perusahaan tidak segan untuk memberhentikan pekerja, apa lagi dijaman sekarang mencari pekerjaan susah, ditambah lagi kebanyakan dari kami sebagai pekerja hanya lulusan SD.</w:t>
      </w:r>
    </w:p>
    <w:p w14:paraId="1E3ABA45" w14:textId="77777777" w:rsidR="00FA7F86" w:rsidRDefault="00FA7F86" w:rsidP="00FA7F86">
      <w:pPr>
        <w:shd w:val="clear" w:color="auto" w:fill="FFFFFF"/>
        <w:tabs>
          <w:tab w:val="left" w:pos="1418"/>
        </w:tabs>
        <w:spacing w:after="0" w:line="360" w:lineRule="auto"/>
        <w:ind w:left="567"/>
        <w:jc w:val="both"/>
        <w:rPr>
          <w:rFonts w:ascii="Times New Roman" w:eastAsia="Times New Roman" w:hAnsi="Times New Roman" w:cs="Times New Roman"/>
          <w:i/>
          <w:sz w:val="24"/>
          <w:szCs w:val="24"/>
          <w:lang w:val="id-ID"/>
        </w:rPr>
      </w:pPr>
    </w:p>
    <w:p w14:paraId="4E08BC16" w14:textId="77777777" w:rsidR="00FA7F86" w:rsidRDefault="00FA7F86" w:rsidP="00FA7F86">
      <w:pPr>
        <w:shd w:val="clear" w:color="auto" w:fill="FFFFFF"/>
        <w:tabs>
          <w:tab w:val="left" w:pos="1418"/>
        </w:tabs>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Penulis setuju dengan pandangan bapak amran bahwa dengan gaji yang pekerja rasa cukup untuk menghidupi keluarga dan apalagi dijaman sekarang memang susah untuk mencari pekerjaan ditambah lagi hanya dengan lulusan sekolah dasar. karena memang kenyataannya dijaman sekarang tidak gampang untuk melamar pekerjaan apalagi syarat untuk melamar pekerjaan salah satunya ijasah. Selama gaji cukup untuk menghidupi keluarga mereka semua aman-aman saja, sebgaimanana musyawarah yang dilakukanpun berdasarkan hasil keputusan dan kesepakatan bersama-sama antara pekerja dan perusahaan.</w:t>
      </w:r>
    </w:p>
    <w:p w14:paraId="3101A08B" w14:textId="2678C964" w:rsidR="00FA7F86" w:rsidRDefault="00FA7F86" w:rsidP="00FA7F86">
      <w:pPr>
        <w:shd w:val="clear" w:color="auto" w:fill="FFFFFF"/>
        <w:tabs>
          <w:tab w:val="left" w:pos="1418"/>
        </w:tabs>
        <w:spacing w:after="0" w:line="36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color w:val="000000"/>
          <w:sz w:val="24"/>
          <w:szCs w:val="24"/>
          <w:lang w:val="id-ID"/>
        </w:rPr>
        <w:t xml:space="preserve">Perlindungan Hukum Pekerja  Yang Tidak Dibayarkan Tunjangan Hari Raya </w:t>
      </w:r>
      <w:r w:rsidRPr="006E1CD4">
        <w:rPr>
          <w:rFonts w:ascii="Times New Roman" w:eastAsia="Times New Roman" w:hAnsi="Times New Roman" w:cs="Times New Roman"/>
          <w:b/>
          <w:sz w:val="24"/>
          <w:szCs w:val="24"/>
          <w:lang w:val="id-ID"/>
        </w:rPr>
        <w:t>Berda</w:t>
      </w:r>
      <w:r>
        <w:rPr>
          <w:rFonts w:ascii="Times New Roman" w:eastAsia="Times New Roman" w:hAnsi="Times New Roman" w:cs="Times New Roman"/>
          <w:b/>
          <w:sz w:val="24"/>
          <w:szCs w:val="24"/>
          <w:lang w:val="id-ID"/>
        </w:rPr>
        <w:t>sarkan Permenaker No. 6 Tahun 2016</w:t>
      </w:r>
    </w:p>
    <w:p w14:paraId="36F1C5E7" w14:textId="7441EDA1" w:rsidR="00FA7F86" w:rsidRDefault="00FA7F86" w:rsidP="00FA7F86">
      <w:pPr>
        <w:shd w:val="clear" w:color="auto" w:fill="FFFFFF"/>
        <w:tabs>
          <w:tab w:val="left" w:pos="1418"/>
        </w:tabs>
        <w:spacing w:after="0" w:line="360" w:lineRule="auto"/>
        <w:jc w:val="both"/>
        <w:rPr>
          <w:rFonts w:ascii="Times New Roman" w:eastAsia="Times New Roman" w:hAnsi="Times New Roman" w:cs="Times New Roman"/>
          <w:b/>
          <w:sz w:val="24"/>
          <w:szCs w:val="24"/>
          <w:lang w:val="id-ID"/>
        </w:rPr>
      </w:pPr>
      <w:r w:rsidRPr="008E19E8">
        <w:rPr>
          <w:rFonts w:ascii="Times New Roman" w:eastAsia="Times New Roman" w:hAnsi="Times New Roman" w:cs="Times New Roman"/>
          <w:b/>
          <w:sz w:val="24"/>
          <w:szCs w:val="24"/>
          <w:lang w:val="id-ID"/>
        </w:rPr>
        <w:t>Keselamatan Kerja</w:t>
      </w:r>
    </w:p>
    <w:p w14:paraId="4D2CA584" w14:textId="77777777" w:rsidR="00FA7F86" w:rsidRPr="00610F9A" w:rsidRDefault="00FA7F86" w:rsidP="00B0214E">
      <w:p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 xml:space="preserve">           </w:t>
      </w:r>
      <w:r w:rsidRPr="00610F9A">
        <w:rPr>
          <w:rFonts w:ascii="Times New Roman" w:eastAsia="Times New Roman" w:hAnsi="Times New Roman" w:cs="Times New Roman"/>
          <w:sz w:val="24"/>
          <w:szCs w:val="24"/>
          <w:lang w:val="id-ID"/>
        </w:rPr>
        <w:t>Dari hasil wawancara penulis d</w:t>
      </w:r>
      <w:r>
        <w:rPr>
          <w:rFonts w:ascii="Times New Roman" w:eastAsia="Times New Roman" w:hAnsi="Times New Roman" w:cs="Times New Roman"/>
          <w:sz w:val="24"/>
          <w:szCs w:val="24"/>
          <w:lang w:val="id-ID"/>
        </w:rPr>
        <w:t xml:space="preserve">engan bapak Ali Terkait dengan </w:t>
      </w:r>
      <w:r w:rsidRPr="00610F9A">
        <w:rPr>
          <w:rFonts w:ascii="Times New Roman" w:eastAsia="Times New Roman" w:hAnsi="Times New Roman" w:cs="Times New Roman"/>
          <w:sz w:val="24"/>
          <w:szCs w:val="24"/>
          <w:lang w:val="id-ID"/>
        </w:rPr>
        <w:t>perlindungan apa yang diberikan perusahaan</w:t>
      </w:r>
      <w:r>
        <w:rPr>
          <w:rFonts w:ascii="Times New Roman" w:eastAsia="Times New Roman" w:hAnsi="Times New Roman" w:cs="Times New Roman"/>
          <w:sz w:val="24"/>
          <w:szCs w:val="24"/>
          <w:lang w:val="id-ID"/>
        </w:rPr>
        <w:t xml:space="preserve"> kepada pekerja” beliau berkata:</w:t>
      </w:r>
      <w:r>
        <w:rPr>
          <w:rStyle w:val="FootnoteReference"/>
          <w:rFonts w:ascii="Times New Roman" w:eastAsia="Times New Roman" w:hAnsi="Times New Roman" w:cs="Times New Roman"/>
          <w:sz w:val="24"/>
          <w:szCs w:val="24"/>
          <w:lang w:val="id-ID"/>
        </w:rPr>
        <w:footnoteReference w:id="9"/>
      </w:r>
    </w:p>
    <w:p w14:paraId="44D68874" w14:textId="77777777" w:rsidR="00FA7F86" w:rsidRDefault="00FA7F86" w:rsidP="00B0214E">
      <w:pPr>
        <w:shd w:val="clear" w:color="auto" w:fill="FFFFFF"/>
        <w:tabs>
          <w:tab w:val="left" w:pos="1418"/>
        </w:tabs>
        <w:spacing w:before="240" w:after="0" w:line="360" w:lineRule="auto"/>
        <w:ind w:left="567"/>
        <w:jc w:val="both"/>
        <w:rPr>
          <w:rFonts w:ascii="Times New Roman" w:eastAsia="Times New Roman" w:hAnsi="Times New Roman" w:cs="Times New Roman"/>
          <w:i/>
          <w:sz w:val="24"/>
          <w:szCs w:val="24"/>
          <w:lang w:val="id-ID"/>
        </w:rPr>
      </w:pPr>
      <w:r>
        <w:rPr>
          <w:rFonts w:ascii="Times New Roman" w:eastAsia="Times New Roman" w:hAnsi="Times New Roman" w:cs="Times New Roman"/>
          <w:i/>
          <w:sz w:val="24"/>
          <w:szCs w:val="24"/>
          <w:lang w:val="id-ID"/>
        </w:rPr>
        <w:t xml:space="preserve"> Perlindungan yang diberikan perusahaan berupa keselamatan dalam bekerja yang mana pekerja menggunakan fullbody harnes perangkat pengaman yang dikenakan ditubuh melibatkan sabuk yang merangkul seluruh tubuh pekerja, guna mencegah cedera akibat jatuh bebas ketika bekerja diketinggian atau di area yang memiliki resuko jatuh tinggi fullbody harness mencangkup pengait bagian dada, bahu, dan paha untuk mendistribusikan beban secara merata.</w:t>
      </w:r>
    </w:p>
    <w:p w14:paraId="753D9943" w14:textId="77777777" w:rsidR="00FA7F86" w:rsidRDefault="00FA7F86" w:rsidP="00B0214E">
      <w:p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Berdasarkan hasil wawancara diatas memang perlu adanya keselamatan kerja kepada pekerja, karena penulis melihat di PT tersebut pekerjaan yang dilakukan identik dengan ketinggian yang mana sangat berisiko kecelakaan jika tidak diawasi atau tidak menggunakan pengaman fullbody harnes sebagaimana yang dikatakan bapak Ali dari penjelasan di atas.</w:t>
      </w:r>
    </w:p>
    <w:p w14:paraId="572D9859" w14:textId="77777777" w:rsidR="00FA7F86" w:rsidRPr="00824116" w:rsidRDefault="00FA7F86" w:rsidP="00B0214E">
      <w:p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Dari keterangan diatas bahwa di PT tersebut telah menerapkan K3 yaitu keselamatan dan kesehatan kerja diketinggian tempat bekerja para pekerja dilingkungan kerja perusahaan. Sehingga pekerja dapat terlindungi dari kecelakaan kerja yang diakibatkan oleh operasional perusahaan. Dengan demikian keluarga yang ada dirumah dapat memastikan anggota keluarganya dapat pulang kerja dengan selamat.</w:t>
      </w:r>
    </w:p>
    <w:p w14:paraId="0B3A75A9" w14:textId="77777777" w:rsidR="00FA7F86" w:rsidRDefault="00FA7F86" w:rsidP="00B0214E">
      <w:p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Menurut Permenaker Nomor 9 tahn 2016 pekerja pada ketinggian adalah suatu kegiatan atau aktifitas pekerjaan yang dilakukan oleh pekerja pada tempat kerja dipermukaan tanah atau perairan, yang terdapat perbedaan ketinggian, dan memiliki potensi jatuh yang menyebabkan pekerja atau orang lain yang berada ditempat kerja cedera atau meninggal dunia atau menyebabkan kerusakan harta beda. </w:t>
      </w:r>
    </w:p>
    <w:p w14:paraId="5CC09A60" w14:textId="77777777" w:rsidR="00FA7F86" w:rsidRDefault="00FA7F86" w:rsidP="00B0214E">
      <w:pPr>
        <w:shd w:val="clear" w:color="auto" w:fill="FFFFFF"/>
        <w:tabs>
          <w:tab w:val="left" w:pos="1418"/>
        </w:tabs>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Permenaker No 09/2016 mewajibkan pengusaha dan pengurus untuk menerapkan K3 ditempat kerja di ketinggian. Dengan memastikan beberapa hal berikut, implementasi K3 dapat dilakukan:</w:t>
      </w:r>
    </w:p>
    <w:p w14:paraId="63EF47BD" w14:textId="77777777" w:rsidR="00FA7F86" w:rsidRDefault="00FA7F86" w:rsidP="00B0214E">
      <w:pPr>
        <w:pStyle w:val="ListParagraph"/>
        <w:numPr>
          <w:ilvl w:val="0"/>
          <w:numId w:val="23"/>
        </w:num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sidRPr="006917D2">
        <w:rPr>
          <w:rFonts w:ascii="Times New Roman" w:eastAsia="Times New Roman" w:hAnsi="Times New Roman" w:cs="Times New Roman"/>
          <w:sz w:val="24"/>
          <w:szCs w:val="24"/>
          <w:lang w:val="id-ID"/>
        </w:rPr>
        <w:t>Perencanaan (Dilakukan dengan tepat dengan cara yang aman serta diawasi)</w:t>
      </w:r>
    </w:p>
    <w:p w14:paraId="6DA008F4" w14:textId="77777777" w:rsidR="00FA7F86" w:rsidRDefault="00FA7F86" w:rsidP="00B0214E">
      <w:pPr>
        <w:pStyle w:val="ListParagraph"/>
        <w:numPr>
          <w:ilvl w:val="0"/>
          <w:numId w:val="23"/>
        </w:num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sidRPr="006917D2">
        <w:rPr>
          <w:rFonts w:ascii="Times New Roman" w:eastAsia="Times New Roman" w:hAnsi="Times New Roman" w:cs="Times New Roman"/>
          <w:sz w:val="24"/>
          <w:szCs w:val="24"/>
          <w:lang w:val="id-ID"/>
        </w:rPr>
        <w:t>Prosedur Kerja (Untuk melakukan pekerjaan pada ketinggian)</w:t>
      </w:r>
    </w:p>
    <w:p w14:paraId="2F847D0A" w14:textId="77777777" w:rsidR="00FA7F86" w:rsidRDefault="00FA7F86" w:rsidP="00B0214E">
      <w:pPr>
        <w:pStyle w:val="ListParagraph"/>
        <w:numPr>
          <w:ilvl w:val="0"/>
          <w:numId w:val="23"/>
        </w:num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sidRPr="006917D2">
        <w:rPr>
          <w:rFonts w:ascii="Times New Roman" w:eastAsia="Times New Roman" w:hAnsi="Times New Roman" w:cs="Times New Roman"/>
          <w:sz w:val="24"/>
          <w:szCs w:val="24"/>
          <w:lang w:val="id-ID"/>
        </w:rPr>
        <w:t>Teknik (tata cara) Bekerja (yang) aman</w:t>
      </w:r>
    </w:p>
    <w:p w14:paraId="08BDC0FA" w14:textId="77777777" w:rsidR="00FA7F86" w:rsidRDefault="00FA7F86" w:rsidP="00B0214E">
      <w:pPr>
        <w:pStyle w:val="ListParagraph"/>
        <w:numPr>
          <w:ilvl w:val="0"/>
          <w:numId w:val="23"/>
        </w:num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sidRPr="006917D2">
        <w:rPr>
          <w:rFonts w:ascii="Times New Roman" w:eastAsia="Times New Roman" w:hAnsi="Times New Roman" w:cs="Times New Roman"/>
          <w:sz w:val="24"/>
          <w:szCs w:val="24"/>
          <w:lang w:val="id-ID"/>
        </w:rPr>
        <w:lastRenderedPageBreak/>
        <w:t>APD Perangkat Pelindung Jatuh dan Angkur</w:t>
      </w:r>
    </w:p>
    <w:p w14:paraId="72A0F036" w14:textId="77777777" w:rsidR="00FA7F86" w:rsidRDefault="00FA7F86" w:rsidP="00B0214E">
      <w:pPr>
        <w:pStyle w:val="ListParagraph"/>
        <w:numPr>
          <w:ilvl w:val="0"/>
          <w:numId w:val="23"/>
        </w:num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sidRPr="006917D2">
        <w:rPr>
          <w:rFonts w:ascii="Times New Roman" w:eastAsia="Times New Roman" w:hAnsi="Times New Roman" w:cs="Times New Roman"/>
          <w:sz w:val="24"/>
          <w:szCs w:val="24"/>
          <w:lang w:val="id-ID"/>
        </w:rPr>
        <w:t>Tenaga Kerja (kompeten dan adanya Bagian K3)</w:t>
      </w:r>
    </w:p>
    <w:p w14:paraId="232C4D11" w14:textId="77777777" w:rsidR="00FA7F86" w:rsidRPr="00E66159" w:rsidRDefault="00FA7F86" w:rsidP="00B0214E">
      <w:pPr>
        <w:shd w:val="clear" w:color="auto" w:fill="FFFFFF"/>
        <w:tabs>
          <w:tab w:val="left" w:pos="1418"/>
        </w:tabs>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Beberapa alasan penting untuk memberikan perhatian khusus pada keselamatan saaat bekerja ditempat ketinggian, aktivitas diketinggian membawa risiko yang lebih tinggi dibandingkan dengan pekerjaan dipermukaan tanah.     </w:t>
      </w:r>
    </w:p>
    <w:p w14:paraId="75954BFB" w14:textId="77777777" w:rsidR="00FA7F86" w:rsidRDefault="00FA7F86" w:rsidP="00B0214E">
      <w:pPr>
        <w:spacing w:before="240" w:after="0" w:line="36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lang w:val="id-ID"/>
        </w:rPr>
        <w:t xml:space="preserve">Tujuan dari perlindungan keselamatan kerja yang diberikan perusahaan untuk menghindari pekerja dari </w:t>
      </w:r>
      <w:r w:rsidRPr="00C51733">
        <w:rPr>
          <w:rFonts w:ascii="Times New Roman" w:eastAsia="Times New Roman" w:hAnsi="Times New Roman" w:cs="Times New Roman"/>
          <w:color w:val="000000"/>
          <w:sz w:val="24"/>
          <w:szCs w:val="24"/>
        </w:rPr>
        <w:t>kesalahan bertindak dan juga keamanan</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lokasi kerja. Kesehatan dan keselamatan merupakan kesatuan yang</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tidak dapat dipisahkan agar produksi perusahaan tetap berjalan</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lancar.</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Untuk itu, dalam UU. No. 13 Tahun 2003 sebagaimana telah</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diubah dalam UU No. 11 Tahun 2020 tentang Cipta Kerja dicantumkan</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bahwa setiap pekerja atau buruh berhak mendapatkan perlindungan</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atas keselamatan dan kesehatan kerja agar para pekerja terhindar</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dari kecelakaan kerja.</w:t>
      </w:r>
      <w:r>
        <w:rPr>
          <w:rStyle w:val="FootnoteReference"/>
          <w:rFonts w:ascii="Times New Roman" w:eastAsia="Times New Roman" w:hAnsi="Times New Roman" w:cs="Times New Roman"/>
          <w:color w:val="000000"/>
          <w:sz w:val="24"/>
          <w:szCs w:val="24"/>
        </w:rPr>
        <w:footnoteReference w:id="10"/>
      </w:r>
    </w:p>
    <w:p w14:paraId="7B90CEF8" w14:textId="77777777" w:rsidR="00FA7F86" w:rsidRPr="00D539B9" w:rsidRDefault="00FA7F86" w:rsidP="00B0214E">
      <w:pPr>
        <w:spacing w:before="240" w:after="0" w:line="360" w:lineRule="auto"/>
        <w:jc w:val="both"/>
        <w:rPr>
          <w:rFonts w:ascii="Times New Roman" w:eastAsia="Times New Roman" w:hAnsi="Times New Roman" w:cs="Times New Roman"/>
          <w:color w:val="000000"/>
          <w:sz w:val="24"/>
          <w:szCs w:val="24"/>
        </w:rPr>
      </w:pP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Keselamatan kerja adalah suatu jenis perlindungan terhadap</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pekerja atau buruh agar selamat dari bahaya yang dapat ditimbulkan</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oleh alat kerja atau bahan yang dikerjakan. Dikutip dari Zaenadi</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Asyhadie pada Suma‟mur bahwa keselamatan kerja merupakan</w:t>
      </w:r>
      <w:r w:rsidRPr="00C51733">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rangkaian usaha untuk menciptakan suasana kerja yang aman dan</w:t>
      </w:r>
      <w:r w:rsidRPr="00C51733">
        <w:rPr>
          <w:rFonts w:ascii="Times New Roman" w:eastAsia="Times New Roman" w:hAnsi="Times New Roman" w:cs="Times New Roman"/>
          <w:color w:val="000000"/>
          <w:sz w:val="24"/>
          <w:szCs w:val="24"/>
          <w:lang w:val="id-ID"/>
        </w:rPr>
        <w:t xml:space="preserve"> </w:t>
      </w:r>
      <w:r>
        <w:rPr>
          <w:rFonts w:ascii="Times New Roman" w:eastAsia="Times New Roman" w:hAnsi="Times New Roman" w:cs="Times New Roman"/>
          <w:color w:val="000000"/>
          <w:sz w:val="24"/>
          <w:szCs w:val="24"/>
        </w:rPr>
        <w:t xml:space="preserve">tentram bagi para </w:t>
      </w:r>
      <w:r>
        <w:rPr>
          <w:rFonts w:ascii="Times New Roman" w:eastAsia="Times New Roman" w:hAnsi="Times New Roman" w:cs="Times New Roman"/>
          <w:color w:val="000000"/>
          <w:sz w:val="24"/>
          <w:szCs w:val="24"/>
          <w:lang w:val="id-ID"/>
        </w:rPr>
        <w:t>pekerja</w:t>
      </w:r>
      <w:r w:rsidRPr="00C51733">
        <w:rPr>
          <w:rFonts w:ascii="Times New Roman" w:eastAsia="Times New Roman" w:hAnsi="Times New Roman" w:cs="Times New Roman"/>
          <w:color w:val="000000"/>
          <w:sz w:val="24"/>
          <w:szCs w:val="24"/>
        </w:rPr>
        <w:t xml:space="preserve"> yang bekerja di perusahaan yang</w:t>
      </w:r>
      <w:r>
        <w:rPr>
          <w:rFonts w:ascii="Times New Roman" w:eastAsia="Times New Roman" w:hAnsi="Times New Roman" w:cs="Times New Roman"/>
          <w:color w:val="000000"/>
          <w:sz w:val="24"/>
          <w:szCs w:val="24"/>
          <w:lang w:val="id-ID"/>
        </w:rPr>
        <w:t xml:space="preserve"> </w:t>
      </w:r>
      <w:r w:rsidRPr="00C51733">
        <w:rPr>
          <w:rFonts w:ascii="Times New Roman" w:eastAsia="Times New Roman" w:hAnsi="Times New Roman" w:cs="Times New Roman"/>
          <w:color w:val="000000"/>
          <w:sz w:val="24"/>
          <w:szCs w:val="24"/>
        </w:rPr>
        <w:t>bersangkutan.</w:t>
      </w:r>
      <w:r>
        <w:rPr>
          <w:rFonts w:ascii="Times New Roman" w:eastAsia="Times New Roman" w:hAnsi="Times New Roman" w:cs="Times New Roman"/>
          <w:color w:val="000000"/>
          <w:sz w:val="24"/>
          <w:szCs w:val="24"/>
          <w:lang w:val="id-ID"/>
        </w:rPr>
        <w:t xml:space="preserve"> </w:t>
      </w:r>
    </w:p>
    <w:p w14:paraId="7D610AC8" w14:textId="77777777" w:rsidR="00FA7F86" w:rsidRPr="003F2DE0" w:rsidRDefault="00FA7F86" w:rsidP="00B0214E">
      <w:pPr>
        <w:spacing w:after="0" w:line="360" w:lineRule="auto"/>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          S</w:t>
      </w:r>
      <w:r w:rsidRPr="00D539B9">
        <w:rPr>
          <w:rFonts w:ascii="Times New Roman" w:eastAsia="Times New Roman" w:hAnsi="Times New Roman" w:cs="Times New Roman"/>
          <w:color w:val="000000"/>
          <w:sz w:val="24"/>
          <w:szCs w:val="24"/>
        </w:rPr>
        <w:t>ebab kecelakaan yang terjadi pada</w:t>
      </w:r>
      <w:r>
        <w:rPr>
          <w:rFonts w:ascii="Times New Roman" w:eastAsia="Times New Roman" w:hAnsi="Times New Roman" w:cs="Times New Roman"/>
          <w:color w:val="000000"/>
          <w:sz w:val="24"/>
          <w:szCs w:val="24"/>
          <w:lang w:val="id-ID"/>
        </w:rPr>
        <w:t xml:space="preserve"> </w:t>
      </w:r>
      <w:r w:rsidRPr="00D539B9">
        <w:rPr>
          <w:rFonts w:ascii="Times New Roman" w:eastAsia="Times New Roman" w:hAnsi="Times New Roman" w:cs="Times New Roman"/>
          <w:color w:val="000000"/>
          <w:sz w:val="24"/>
          <w:szCs w:val="24"/>
        </w:rPr>
        <w:t>umumnya disebabkan oleh perbuatan yang membahayakan. Adapun</w:t>
      </w:r>
      <w:r w:rsidRPr="00D539B9">
        <w:rPr>
          <w:rFonts w:ascii="Times New Roman" w:eastAsia="Times New Roman" w:hAnsi="Times New Roman" w:cs="Times New Roman"/>
          <w:color w:val="000000"/>
          <w:sz w:val="24"/>
          <w:szCs w:val="24"/>
          <w:lang w:val="id-ID"/>
        </w:rPr>
        <w:t xml:space="preserve"> </w:t>
      </w:r>
      <w:r w:rsidRPr="00D539B9">
        <w:rPr>
          <w:rFonts w:ascii="Times New Roman" w:eastAsia="Times New Roman" w:hAnsi="Times New Roman" w:cs="Times New Roman"/>
          <w:color w:val="000000"/>
          <w:sz w:val="24"/>
          <w:szCs w:val="24"/>
        </w:rPr>
        <w:t>perbuatan yang membahayakan itu bersumber dari:</w:t>
      </w:r>
      <w:r>
        <w:rPr>
          <w:rFonts w:ascii="Times New Roman" w:eastAsia="Times New Roman" w:hAnsi="Times New Roman" w:cs="Times New Roman"/>
          <w:color w:val="000000"/>
          <w:sz w:val="24"/>
          <w:szCs w:val="24"/>
          <w:lang w:val="id-ID"/>
        </w:rPr>
        <w:t xml:space="preserve"> </w:t>
      </w:r>
      <w:r>
        <w:rPr>
          <w:rFonts w:ascii="Times New Roman" w:hAnsi="Times New Roman" w:cs="Times New Roman"/>
          <w:color w:val="000000"/>
          <w:sz w:val="24"/>
          <w:szCs w:val="24"/>
        </w:rPr>
        <w:t>Terjatuh</w:t>
      </w:r>
      <w:r>
        <w:rPr>
          <w:rFonts w:ascii="Times New Roman" w:hAnsi="Times New Roman" w:cs="Times New Roman"/>
          <w:color w:val="000000"/>
          <w:sz w:val="24"/>
          <w:szCs w:val="24"/>
          <w:lang w:val="id-ID"/>
        </w:rPr>
        <w:t xml:space="preserve">, </w:t>
      </w:r>
      <w:r w:rsidRPr="00D539B9">
        <w:rPr>
          <w:rFonts w:ascii="Times New Roman" w:hAnsi="Times New Roman" w:cs="Times New Roman"/>
          <w:color w:val="000000"/>
          <w:sz w:val="24"/>
          <w:szCs w:val="24"/>
        </w:rPr>
        <w:t>Tertimpa benda tajam</w:t>
      </w:r>
      <w:r>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 </w:t>
      </w:r>
      <w:r w:rsidRPr="00D539B9">
        <w:rPr>
          <w:rFonts w:ascii="Times New Roman" w:hAnsi="Times New Roman" w:cs="Times New Roman"/>
          <w:color w:val="000000"/>
          <w:sz w:val="24"/>
          <w:szCs w:val="24"/>
        </w:rPr>
        <w:t>Tertumbuk atau terkena benda-benda</w:t>
      </w:r>
      <w:r>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 </w:t>
      </w:r>
      <w:r w:rsidRPr="00D539B9">
        <w:rPr>
          <w:rFonts w:ascii="Times New Roman" w:hAnsi="Times New Roman" w:cs="Times New Roman"/>
          <w:color w:val="000000"/>
          <w:sz w:val="24"/>
          <w:szCs w:val="24"/>
        </w:rPr>
        <w:t>Terjepit oleh benda</w:t>
      </w:r>
      <w:r>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 </w:t>
      </w:r>
      <w:r w:rsidRPr="00D539B9">
        <w:rPr>
          <w:rFonts w:ascii="Times New Roman" w:hAnsi="Times New Roman" w:cs="Times New Roman"/>
          <w:color w:val="000000"/>
          <w:sz w:val="24"/>
          <w:szCs w:val="24"/>
        </w:rPr>
        <w:t>Gerakan-gerakan melebihi kemampuan</w:t>
      </w:r>
      <w:r>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 </w:t>
      </w:r>
      <w:r w:rsidRPr="00D539B9">
        <w:rPr>
          <w:rFonts w:ascii="Times New Roman" w:hAnsi="Times New Roman" w:cs="Times New Roman"/>
          <w:color w:val="000000"/>
          <w:sz w:val="24"/>
          <w:szCs w:val="24"/>
        </w:rPr>
        <w:t>Pengaruh suhu tinggi</w:t>
      </w:r>
      <w:r>
        <w:rPr>
          <w:rFonts w:ascii="Times New Roman" w:hAnsi="Times New Roman" w:cs="Times New Roman"/>
          <w:color w:val="000000"/>
          <w:sz w:val="24"/>
          <w:szCs w:val="24"/>
          <w:lang w:val="id-ID"/>
        </w:rPr>
        <w:t xml:space="preserve">, </w:t>
      </w:r>
      <w:r w:rsidRPr="00D539B9">
        <w:rPr>
          <w:rFonts w:ascii="Times New Roman" w:hAnsi="Times New Roman" w:cs="Times New Roman"/>
          <w:color w:val="000000"/>
          <w:sz w:val="24"/>
          <w:szCs w:val="24"/>
        </w:rPr>
        <w:t>Terkena arus listrik</w:t>
      </w:r>
      <w:r>
        <w:rPr>
          <w:rFonts w:ascii="Times New Roman" w:hAnsi="Times New Roman" w:cs="Times New Roman"/>
          <w:color w:val="000000"/>
          <w:sz w:val="24"/>
          <w:szCs w:val="24"/>
          <w:lang w:val="id-ID"/>
        </w:rPr>
        <w:t>,</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 xml:space="preserve">dan </w:t>
      </w:r>
      <w:r w:rsidRPr="00D539B9">
        <w:rPr>
          <w:rFonts w:ascii="Times New Roman" w:hAnsi="Times New Roman" w:cs="Times New Roman"/>
          <w:color w:val="000000"/>
          <w:sz w:val="24"/>
          <w:szCs w:val="24"/>
        </w:rPr>
        <w:t>Kontak dengan bahan-bahan berbahaya</w:t>
      </w:r>
      <w:r>
        <w:rPr>
          <w:rFonts w:ascii="Times New Roman" w:hAnsi="Times New Roman" w:cs="Times New Roman"/>
          <w:color w:val="000000"/>
          <w:sz w:val="24"/>
          <w:szCs w:val="24"/>
          <w:lang w:val="id-ID"/>
        </w:rPr>
        <w:t>.</w:t>
      </w:r>
    </w:p>
    <w:p w14:paraId="0EE7A341" w14:textId="77777777" w:rsidR="00FA7F86" w:rsidRDefault="00FA7F86" w:rsidP="00B0214E">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Undang-undang Nomor 13 Tahun 2003 tentang Ketenagakerjaan mengatur hal-hal tentang ketenagakerjaan, tetapi Peraturan Menteri Ketenagakerjaan Nomor 6 Tahun 2016 mengenai Tunjangan Hari Raya Keagamaan Bagi Pekerja/Buruh di Perusahaan mengatur tunjangan hari raya secara khusus.</w:t>
      </w:r>
    </w:p>
    <w:p w14:paraId="676EAD2F" w14:textId="77777777" w:rsidR="00FA7F86" w:rsidRPr="00A40B44" w:rsidRDefault="00FA7F86" w:rsidP="00B0214E">
      <w:pPr>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Peraturan Menteri Ketenagakerjaan Nomor 6 Tahun 2016, pasal 1 ayat (2) menyatakan bahwa hari raya keagamaan adalah sebagai berikut: "Hari raya Idul Fitri bagi pekerja/buruh Islam, hari raya Natal bagi pekerja/buruh Kristen Katholik dan Kristen Protestan, hari raya </w:t>
      </w:r>
      <w:r>
        <w:rPr>
          <w:rFonts w:ascii="Times New Roman" w:eastAsia="Times New Roman" w:hAnsi="Times New Roman" w:cs="Times New Roman"/>
          <w:sz w:val="24"/>
          <w:szCs w:val="24"/>
        </w:rPr>
        <w:lastRenderedPageBreak/>
        <w:t>Nyepi bagi pekerja/buruh Hindu, hari raya Waisak bagi pekerja/buruh Budha, dan hari raya Imlek bagi pekerja/buruh Konghucu"</w:t>
      </w:r>
    </w:p>
    <w:p w14:paraId="1BF6C33C" w14:textId="77777777" w:rsidR="00FA7F86" w:rsidRDefault="00FA7F86" w:rsidP="00B0214E">
      <w:pPr>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Menurut PERMENAKER No. 6 Tahun 2016, setiap pekerja berhak atas tunjangan hari raya jika mereka memiliki masa kerja. Masa kerja adalah waktu yang dihabiskan pekerja untuk memenuhi kewajiban mereka terhadap perusahaan tempat mereka bekerja. Salah satu syarat untuk memperoleh Tunjangan Hari Raya adalah masa kerja, baik yang diberikan oleh pengusaha tempat mereka bekerja maupun instansi pemerintah. Pekerja lepas yang bekerja secara harian juga berlaku untuk kelayakan sebagai penerima Tunjangan Hari Raya. </w:t>
      </w:r>
    </w:p>
    <w:p w14:paraId="64ACA27F" w14:textId="77777777" w:rsidR="00FA7F86" w:rsidRDefault="00FA7F86" w:rsidP="00B0214E">
      <w:pPr>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Salah satu cara untuk memenuhi kebutuhan pekerja dan keluarga mereka selama Hari Raya Keagamaan adalah dengan memberikan Tunjangan Hari Raya (THR) bagi pekerja dan buruh. Kebijakan ini bertujuan untuk meningkatkan kesejahteraan dan perlindungan para pekerja.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Peraturan Menteri Ketenagakerjaan (Permenaker) Nomor 6 Tahun 2016 menetapkan bahwa THR Keagamaan adalah pendapatan non upah yang wajib dibayarkan oleh pengusaha kepada pekerja atau buruh mereka menjelang Hari Raya Keagamaan. Pembayaran THR ini harus diberikan sekali setahun oleh perusahaan dan dibayarkan sesuai dengan hari keagamaan masing-masing serta selambat</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lambatnya 7</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 hari sebelum Hari Raya Keagamaan.</w:t>
      </w:r>
    </w:p>
    <w:p w14:paraId="4DE2C9D6" w14:textId="77777777" w:rsidR="00FA7F86" w:rsidRPr="007A58DB" w:rsidRDefault="00FA7F86" w:rsidP="00B0214E">
      <w:pPr>
        <w:spacing w:before="24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sidRPr="007A58DB">
        <w:rPr>
          <w:rFonts w:ascii="Times New Roman" w:eastAsia="Times New Roman" w:hAnsi="Times New Roman" w:cs="Times New Roman"/>
          <w:sz w:val="24"/>
          <w:szCs w:val="24"/>
        </w:rPr>
        <w:t>Peraturan Pemerintah (PP) No.36 Tahun 2021 mengatur tanggung jawab ini, seperti yang diatur dalam Peraturan Menteri Ketenagakerjaan (Permenaker) No.6 Tahun 2016 tentang Tunjangan Hari Raya Keagamaan bagi Pekerja atau Buruh di Perusahaan (Permenaker No.6/2016).</w:t>
      </w:r>
      <w:r>
        <w:rPr>
          <w:rFonts w:ascii="Times New Roman" w:eastAsia="Times New Roman" w:hAnsi="Times New Roman" w:cs="Times New Roman"/>
          <w:sz w:val="24"/>
          <w:szCs w:val="24"/>
          <w:lang w:val="id-ID"/>
        </w:rPr>
        <w:t xml:space="preserve"> U</w:t>
      </w:r>
      <w:r w:rsidRPr="007A58DB">
        <w:rPr>
          <w:rFonts w:ascii="Times New Roman" w:eastAsia="Times New Roman" w:hAnsi="Times New Roman" w:cs="Times New Roman"/>
          <w:sz w:val="24"/>
          <w:szCs w:val="24"/>
        </w:rPr>
        <w:t xml:space="preserve">ntuk pekerja dan buruh ini, kompensasi hari kerja (THR) harus dibayarkan sekali setahun oleh perusahaan dan disesuaikan dengan hari keagamaan masing-masing. </w:t>
      </w:r>
    </w:p>
    <w:p w14:paraId="1065FF92" w14:textId="77777777" w:rsidR="00FA7F86" w:rsidRDefault="00FA7F86" w:rsidP="00B0214E">
      <w:pPr>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Berdasarkan Permenaker No.6/2016, </w:t>
      </w:r>
      <w:r>
        <w:rPr>
          <w:rFonts w:ascii="Times New Roman" w:eastAsia="Times New Roman" w:hAnsi="Times New Roman" w:cs="Times New Roman"/>
          <w:sz w:val="24"/>
          <w:szCs w:val="24"/>
          <w:lang w:val="id-ID"/>
        </w:rPr>
        <w:t>P</w:t>
      </w:r>
      <w:r>
        <w:rPr>
          <w:rFonts w:ascii="Times New Roman" w:eastAsia="Times New Roman" w:hAnsi="Times New Roman" w:cs="Times New Roman"/>
          <w:sz w:val="24"/>
          <w:szCs w:val="24"/>
        </w:rPr>
        <w:t>ekerja atau buruh yang telah bekerja selama 1 bulan berhak atas THR Keagamaan dari perusahaan. Pekerja atau buruh yang bekerja selama 12 bulan atau lebih akan menerima THR sebesar satu bulan upah. Jika pekerja atau buruh memiliki masa kerja minimal satu bulan secara konsisten tetapi kurang dari dua belas bulan, mereka akan menerima THR secara proporsional. Ini dapat dicapai dengan membagi jumlah masa kerja dibagi dua belas bulan dikali satu bulan upah.</w:t>
      </w:r>
    </w:p>
    <w:p w14:paraId="340A3BF0" w14:textId="77777777" w:rsidR="00FA7F86" w:rsidRDefault="00FA7F86" w:rsidP="00B0214E">
      <w:pPr>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Perusahaan yang mengatur pembayaran THR keagamaan dalam perjanjian kerja, peraturan perusahaan (PP), atau perjanjian kerja bersama (PKB) dengan jumlah lebih baik dan lebih besar dari ketentuan di atas tidak terikat permenaker No.6/2016. Besarnya THR yang dibayarkan kepada pekerja/buruh harus dilakukan berdasarkan pada PP atau PKB tersebut.</w:t>
      </w:r>
    </w:p>
    <w:p w14:paraId="07AA2D00" w14:textId="77777777" w:rsidR="00FA7F86" w:rsidRDefault="00FA7F86" w:rsidP="00B0214E">
      <w:pPr>
        <w:spacing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lastRenderedPageBreak/>
        <w:t xml:space="preserve">           </w:t>
      </w:r>
      <w:r w:rsidRPr="00610F9A">
        <w:rPr>
          <w:rFonts w:ascii="Times New Roman" w:eastAsia="Times New Roman" w:hAnsi="Times New Roman" w:cs="Times New Roman"/>
          <w:sz w:val="24"/>
          <w:szCs w:val="24"/>
          <w:lang w:val="id-ID"/>
        </w:rPr>
        <w:t>Dari hasil wawancara penulis d</w:t>
      </w:r>
      <w:r>
        <w:rPr>
          <w:rFonts w:ascii="Times New Roman" w:eastAsia="Times New Roman" w:hAnsi="Times New Roman" w:cs="Times New Roman"/>
          <w:sz w:val="24"/>
          <w:szCs w:val="24"/>
          <w:lang w:val="id-ID"/>
        </w:rPr>
        <w:t>engan bapak Ali selaku pekerja terkait dengan bagaimana peraturan perusahaan terkait THR keagamaan beliau berkata:</w:t>
      </w:r>
      <w:r>
        <w:rPr>
          <w:rStyle w:val="FootnoteReference"/>
          <w:rFonts w:ascii="Times New Roman" w:eastAsia="Times New Roman" w:hAnsi="Times New Roman" w:cs="Times New Roman"/>
          <w:sz w:val="24"/>
          <w:szCs w:val="24"/>
          <w:lang w:val="id-ID"/>
        </w:rPr>
        <w:footnoteReference w:id="11"/>
      </w:r>
    </w:p>
    <w:p w14:paraId="268CFF11" w14:textId="77777777" w:rsidR="00FA7F86" w:rsidRDefault="00FA7F86" w:rsidP="00B0214E">
      <w:pPr>
        <w:spacing w:before="240" w:after="0" w:line="360" w:lineRule="auto"/>
        <w:ind w:left="567"/>
        <w:jc w:val="both"/>
        <w:rPr>
          <w:rFonts w:ascii="Times New Roman" w:eastAsia="Times New Roman" w:hAnsi="Times New Roman" w:cs="Times New Roman"/>
          <w:i/>
          <w:sz w:val="24"/>
          <w:szCs w:val="24"/>
          <w:lang w:val="id-ID"/>
        </w:rPr>
      </w:pPr>
      <w:r w:rsidRPr="0035505A">
        <w:rPr>
          <w:rFonts w:ascii="Times New Roman" w:eastAsia="Times New Roman" w:hAnsi="Times New Roman" w:cs="Times New Roman"/>
          <w:i/>
          <w:sz w:val="24"/>
          <w:szCs w:val="24"/>
          <w:lang w:val="id-ID"/>
        </w:rPr>
        <w:t xml:space="preserve">Kalau mengenai THR itu sudah termasuk peraturan perusahaan dan perjanjian kerja bersama antra perusahaan dan pekerja, karena </w:t>
      </w:r>
      <w:r>
        <w:rPr>
          <w:rFonts w:ascii="Times New Roman" w:eastAsia="Times New Roman" w:hAnsi="Times New Roman" w:cs="Times New Roman"/>
          <w:i/>
          <w:sz w:val="24"/>
          <w:szCs w:val="24"/>
          <w:lang w:val="id-ID"/>
        </w:rPr>
        <w:t xml:space="preserve">adanya kesepakatan yang dibuat dari awal bekerja, </w:t>
      </w:r>
      <w:r w:rsidRPr="0035505A">
        <w:rPr>
          <w:rFonts w:ascii="Times New Roman" w:eastAsia="Times New Roman" w:hAnsi="Times New Roman" w:cs="Times New Roman"/>
          <w:i/>
          <w:sz w:val="24"/>
          <w:szCs w:val="24"/>
          <w:lang w:val="id-ID"/>
        </w:rPr>
        <w:t>Dan kami</w:t>
      </w:r>
      <w:r>
        <w:rPr>
          <w:rFonts w:ascii="Times New Roman" w:eastAsia="Times New Roman" w:hAnsi="Times New Roman" w:cs="Times New Roman"/>
          <w:i/>
          <w:sz w:val="24"/>
          <w:szCs w:val="24"/>
          <w:lang w:val="id-ID"/>
        </w:rPr>
        <w:t xml:space="preserve"> sebagai</w:t>
      </w:r>
      <w:r w:rsidRPr="0035505A">
        <w:rPr>
          <w:rFonts w:ascii="Times New Roman" w:eastAsia="Times New Roman" w:hAnsi="Times New Roman" w:cs="Times New Roman"/>
          <w:i/>
          <w:sz w:val="24"/>
          <w:szCs w:val="24"/>
          <w:lang w:val="id-ID"/>
        </w:rPr>
        <w:t xml:space="preserve"> pekerja sudah sepakat dengan</w:t>
      </w:r>
      <w:r>
        <w:rPr>
          <w:rFonts w:ascii="Times New Roman" w:eastAsia="Times New Roman" w:hAnsi="Times New Roman" w:cs="Times New Roman"/>
          <w:i/>
          <w:sz w:val="24"/>
          <w:szCs w:val="24"/>
          <w:lang w:val="id-ID"/>
        </w:rPr>
        <w:t xml:space="preserve"> hal mengenai peraturan THR diperusahaan ini, sehingganya</w:t>
      </w:r>
      <w:r w:rsidRPr="0035505A">
        <w:rPr>
          <w:rFonts w:ascii="Times New Roman" w:eastAsia="Times New Roman" w:hAnsi="Times New Roman" w:cs="Times New Roman"/>
          <w:i/>
          <w:sz w:val="24"/>
          <w:szCs w:val="24"/>
          <w:lang w:val="id-ID"/>
        </w:rPr>
        <w:t xml:space="preserve"> peraturan yang diberikan oleh perusahaan yaitu tidak adanya THR namun gaji kami diterima peru</w:t>
      </w:r>
      <w:r>
        <w:rPr>
          <w:rFonts w:ascii="Times New Roman" w:eastAsia="Times New Roman" w:hAnsi="Times New Roman" w:cs="Times New Roman"/>
          <w:i/>
          <w:sz w:val="24"/>
          <w:szCs w:val="24"/>
          <w:lang w:val="id-ID"/>
        </w:rPr>
        <w:t>blu</w:t>
      </w:r>
      <w:r w:rsidRPr="0035505A">
        <w:rPr>
          <w:rFonts w:ascii="Times New Roman" w:eastAsia="Times New Roman" w:hAnsi="Times New Roman" w:cs="Times New Roman"/>
          <w:i/>
          <w:sz w:val="24"/>
          <w:szCs w:val="24"/>
          <w:lang w:val="id-ID"/>
        </w:rPr>
        <w:t>an 5.000.000 bersih.</w:t>
      </w:r>
      <w:r>
        <w:rPr>
          <w:rFonts w:ascii="Times New Roman" w:eastAsia="Times New Roman" w:hAnsi="Times New Roman" w:cs="Times New Roman"/>
          <w:i/>
          <w:sz w:val="24"/>
          <w:szCs w:val="24"/>
          <w:lang w:val="id-ID"/>
        </w:rPr>
        <w:t xml:space="preserve"> Jadi mengenai THR itu termasuk dari peraturan perusahaan.</w:t>
      </w:r>
    </w:p>
    <w:p w14:paraId="0A21ED25" w14:textId="77777777" w:rsidR="00FA7F86" w:rsidRDefault="00FA7F86" w:rsidP="00B0214E">
      <w:pPr>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Berdasarkan hasil wawancara diatas bahwa tunjanga hari raya di PT tersebut sudah termasuk dalam peraturan perusahaan dan perjanjian kerja bersama sehingganya pekerja tidak merasa keberatan akan hal itu karena kesepakatan yang dibuat secara bersama-sama dan dari kesepakatan yang dibuat sehingga mendapatkan solusi yang menguntungkan antara kedua bela pihak yang sepakat.</w:t>
      </w:r>
    </w:p>
    <w:p w14:paraId="5293603C" w14:textId="77777777" w:rsidR="00FA7F86" w:rsidRPr="00E66159" w:rsidRDefault="00FA7F86" w:rsidP="00B0214E">
      <w:pPr>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Dari penjelasan diatas dapat penulis lihat bahwa mengenai THR diperusahaan tersebut sudah termasuk dalam peraturan perusahaan sehingga sudah menjadi ketentuan perusahaan, jadi pekerja harus mematuhi segala ketentuan yang diberikan perusahan selama masih pekerja diperusahaan tersebut. </w:t>
      </w:r>
    </w:p>
    <w:p w14:paraId="7349FD3F" w14:textId="6442D4DB" w:rsidR="00FA7F86" w:rsidRDefault="00FA7F86" w:rsidP="00FA7F86">
      <w:pPr>
        <w:spacing w:before="240" w:after="0" w:line="360" w:lineRule="auto"/>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          Berdasarkan Peraturan yang mengatur membayar THR keagamaan bukan termasuk perbuatan melawan hukum. Hal ini karena peraturan tersebut telah ada dalam permenaker N0.6/2016. THR ini merupakan hak pekerja. Pasal 62 PP N0.36 Tahun 2021 tentang pengupahan dan pasal 10 ayat (1) dan (2) permenaker No 6 tahun 2016 menyebutkan pengusaha yang terlambat membayar THR kariawan dikenakan denda sebesar 5 persen dari tootal yang harus dibayar sejak berakhirnya batas waktu kewajiban pengusaha untuk membayar yakni 7 hari sebelum hari raya keagamaan. Namun, patut diingat mengenai sanksi denda tersebut tidak menghilangkan kewwajiban pengusaha untuk tetap membayar THR kepada pekerja/buruh. Sementara itu, pasal 79 ayat (1) jo. Pasal 9 ayat (1) dan (2) PP Pengupahan menyebutkan pengusaha yang tidak membayar THR kepada pekerja /buruh juga dikenai berbagai sanksi administratif. Mulai dari teguran tertulis, pembatasan kegiatan usaha, pengehentian sementara sebagian atau seluruh alat produksi, dan pembekuan kegiatan usaha</w:t>
      </w:r>
    </w:p>
    <w:p w14:paraId="515BEA37" w14:textId="77777777" w:rsidR="00FA7F86" w:rsidRDefault="00FA7F86" w:rsidP="00FA7F86">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4E35231C" w14:textId="568B54BD" w:rsidR="00FA7F86" w:rsidRPr="00F8014B" w:rsidRDefault="00FA7F86" w:rsidP="00FA7F86">
      <w:pPr>
        <w:pBdr>
          <w:top w:val="nil"/>
          <w:left w:val="nil"/>
          <w:bottom w:val="nil"/>
          <w:right w:val="nil"/>
          <w:between w:val="nil"/>
        </w:pBdr>
        <w:spacing w:after="0" w:line="240" w:lineRule="auto"/>
        <w:jc w:val="both"/>
        <w:outlineLvl w:val="0"/>
        <w:rPr>
          <w:rFonts w:ascii="EB Garamond" w:eastAsia="EB Garamond" w:hAnsi="EB Garamond" w:cs="EB Garamond"/>
          <w:color w:val="000000"/>
          <w:sz w:val="24"/>
          <w:szCs w:val="24"/>
          <w:lang w:val="id-ID"/>
        </w:rPr>
      </w:pPr>
      <w:r>
        <w:rPr>
          <w:b/>
          <w:color w:val="164A41"/>
          <w:sz w:val="24"/>
          <w:szCs w:val="24"/>
          <w:lang w:val="id-ID"/>
        </w:rPr>
        <w:lastRenderedPageBreak/>
        <w:t>KESIMPULAN</w:t>
      </w:r>
      <w:r w:rsidRPr="00F8014B">
        <w:rPr>
          <w:rFonts w:ascii="Corbel" w:eastAsia="Corbel" w:hAnsi="Corbel" w:cs="Corbel"/>
          <w:b/>
          <w:color w:val="164A41"/>
          <w:sz w:val="24"/>
          <w:szCs w:val="24"/>
          <w:lang w:val="id-ID"/>
        </w:rPr>
        <w:t xml:space="preserve"> </w:t>
      </w:r>
    </w:p>
    <w:p w14:paraId="6790CEEC" w14:textId="77777777" w:rsidR="00FA7F86" w:rsidRDefault="00FA7F86" w:rsidP="00FA7F86">
      <w:pPr>
        <w:pBdr>
          <w:top w:val="nil"/>
          <w:left w:val="nil"/>
          <w:bottom w:val="nil"/>
          <w:right w:val="nil"/>
          <w:between w:val="nil"/>
        </w:pBdr>
        <w:spacing w:after="0" w:line="240" w:lineRule="auto"/>
        <w:jc w:val="both"/>
        <w:rPr>
          <w:rFonts w:ascii="EB Garamond" w:eastAsia="EB Garamond" w:hAnsi="EB Garamond" w:cs="EB Garamond"/>
          <w:color w:val="000000"/>
          <w:sz w:val="24"/>
          <w:szCs w:val="24"/>
          <w:lang w:val="id-ID"/>
        </w:rPr>
      </w:pPr>
    </w:p>
    <w:p w14:paraId="7F5DAB2A" w14:textId="77777777" w:rsidR="00FA7F86" w:rsidRPr="00FA7F86" w:rsidRDefault="00FA7F86" w:rsidP="00FA7F86">
      <w:pPr>
        <w:spacing w:before="240" w:after="200" w:line="360" w:lineRule="auto"/>
        <w:jc w:val="both"/>
        <w:rPr>
          <w:rFonts w:ascii="Times New Roman" w:eastAsia="Times New Roman" w:hAnsi="Times New Roman" w:cs="Times New Roman"/>
          <w:sz w:val="24"/>
          <w:szCs w:val="24"/>
          <w:lang w:val="id-ID"/>
        </w:rPr>
      </w:pPr>
      <w:r w:rsidRPr="00FA7F86">
        <w:rPr>
          <w:rFonts w:ascii="Times New Roman" w:eastAsia="Times New Roman" w:hAnsi="Times New Roman" w:cs="Times New Roman"/>
          <w:sz w:val="24"/>
          <w:szCs w:val="24"/>
          <w:lang w:val="id-ID"/>
        </w:rPr>
        <w:t xml:space="preserve">Penyelesaian nonlitigasi merupakan penyelesaian sengketa yang dilakukan menggunakan cara-cara yang ada diluar pengadilan atau yang biasa disebut dengan lembaga alternatif penyelesaian sengketa. </w:t>
      </w:r>
      <w:r w:rsidRPr="00FA7F86">
        <w:rPr>
          <w:rFonts w:ascii="Times New Roman" w:hAnsi="Times New Roman" w:cs="Times New Roman"/>
          <w:sz w:val="24"/>
          <w:szCs w:val="24"/>
          <w:lang w:val="id-ID"/>
        </w:rPr>
        <w:t xml:space="preserve">Tunjangan hari raya harus diberikan berdasarkan peraturan yang berlaku. maka dari itu tunjangan hari raya harus diberikan kepada pekerja, hal ini sesuai dengan Peraturan Permenaker No 6 Tahun 2016. Tunjangan hari raya yang tidak diberikan dapat merugikan pihak pekerja </w:t>
      </w:r>
      <w:r w:rsidRPr="00FA7F86">
        <w:rPr>
          <w:rFonts w:ascii="Times New Roman" w:eastAsia="Times New Roman" w:hAnsi="Times New Roman" w:cs="Times New Roman"/>
          <w:sz w:val="24"/>
          <w:szCs w:val="24"/>
          <w:lang w:val="id-ID"/>
        </w:rPr>
        <w:t xml:space="preserve">karena tunjangan hari raya merupakan hak yang harus diberikan kepada pekerja. Sehingga jika pengusaha tidak memberikan tunjangan hari raya maka </w:t>
      </w:r>
      <w:r w:rsidRPr="00FA7F86">
        <w:rPr>
          <w:rFonts w:ascii="Times New Roman" w:eastAsia="Times New Roman" w:hAnsi="Times New Roman" w:cs="Times New Roman"/>
          <w:sz w:val="24"/>
          <w:szCs w:val="24"/>
        </w:rPr>
        <w:t>dapat dikenakan sanksi administratif berup</w:t>
      </w:r>
      <w:r w:rsidRPr="00FA7F86">
        <w:rPr>
          <w:rFonts w:ascii="Times New Roman" w:eastAsia="Times New Roman" w:hAnsi="Times New Roman" w:cs="Times New Roman"/>
          <w:sz w:val="24"/>
          <w:szCs w:val="24"/>
          <w:lang w:val="id-ID"/>
        </w:rPr>
        <w:t>a t</w:t>
      </w:r>
      <w:r w:rsidRPr="00FA7F86">
        <w:rPr>
          <w:rFonts w:ascii="Times New Roman" w:eastAsia="Times New Roman" w:hAnsi="Times New Roman" w:cs="Times New Roman"/>
          <w:sz w:val="24"/>
          <w:szCs w:val="24"/>
        </w:rPr>
        <w:t xml:space="preserve">eguran </w:t>
      </w:r>
      <w:r w:rsidRPr="00FA7F86">
        <w:rPr>
          <w:rFonts w:ascii="Times New Roman" w:eastAsia="Times New Roman" w:hAnsi="Times New Roman" w:cs="Times New Roman"/>
          <w:sz w:val="24"/>
          <w:szCs w:val="24"/>
          <w:lang w:val="id-ID"/>
        </w:rPr>
        <w:t>t</w:t>
      </w:r>
      <w:r w:rsidRPr="00FA7F86">
        <w:rPr>
          <w:rFonts w:ascii="Times New Roman" w:eastAsia="Times New Roman" w:hAnsi="Times New Roman" w:cs="Times New Roman"/>
          <w:sz w:val="24"/>
          <w:szCs w:val="24"/>
        </w:rPr>
        <w:t>ertuli</w:t>
      </w:r>
      <w:r w:rsidRPr="00FA7F86">
        <w:rPr>
          <w:rFonts w:ascii="Times New Roman" w:eastAsia="Times New Roman" w:hAnsi="Times New Roman" w:cs="Times New Roman"/>
          <w:sz w:val="24"/>
          <w:szCs w:val="24"/>
          <w:lang w:val="id-ID"/>
        </w:rPr>
        <w:t>s,</w:t>
      </w:r>
      <w:r w:rsidRPr="00FA7F86">
        <w:rPr>
          <w:rFonts w:ascii="Times New Roman" w:eastAsia="Times New Roman" w:hAnsi="Times New Roman" w:cs="Times New Roman"/>
          <w:sz w:val="24"/>
          <w:szCs w:val="24"/>
        </w:rPr>
        <w:t xml:space="preserve"> </w:t>
      </w:r>
      <w:r w:rsidRPr="00FA7F86">
        <w:rPr>
          <w:rFonts w:ascii="Times New Roman" w:eastAsia="Times New Roman" w:hAnsi="Times New Roman" w:cs="Times New Roman"/>
          <w:sz w:val="24"/>
          <w:szCs w:val="24"/>
          <w:lang w:val="id-ID"/>
        </w:rPr>
        <w:t>p</w:t>
      </w:r>
      <w:r w:rsidRPr="00FA7F86">
        <w:rPr>
          <w:rFonts w:ascii="Times New Roman" w:eastAsia="Times New Roman" w:hAnsi="Times New Roman" w:cs="Times New Roman"/>
          <w:sz w:val="24"/>
          <w:szCs w:val="24"/>
        </w:rPr>
        <w:t xml:space="preserve">embatasan </w:t>
      </w:r>
      <w:r w:rsidRPr="00FA7F86">
        <w:rPr>
          <w:rFonts w:ascii="Times New Roman" w:eastAsia="Times New Roman" w:hAnsi="Times New Roman" w:cs="Times New Roman"/>
          <w:sz w:val="24"/>
          <w:szCs w:val="24"/>
          <w:lang w:val="id-ID"/>
        </w:rPr>
        <w:t>a</w:t>
      </w:r>
      <w:r w:rsidRPr="00FA7F86">
        <w:rPr>
          <w:rFonts w:ascii="Times New Roman" w:eastAsia="Times New Roman" w:hAnsi="Times New Roman" w:cs="Times New Roman"/>
          <w:sz w:val="24"/>
          <w:szCs w:val="24"/>
        </w:rPr>
        <w:t xml:space="preserve">ktivitas </w:t>
      </w:r>
      <w:r w:rsidRPr="00FA7F86">
        <w:rPr>
          <w:rFonts w:ascii="Times New Roman" w:eastAsia="Times New Roman" w:hAnsi="Times New Roman" w:cs="Times New Roman"/>
          <w:sz w:val="24"/>
          <w:szCs w:val="24"/>
          <w:lang w:val="id-ID"/>
        </w:rPr>
        <w:t>b</w:t>
      </w:r>
      <w:r w:rsidRPr="00FA7F86">
        <w:rPr>
          <w:rFonts w:ascii="Times New Roman" w:eastAsia="Times New Roman" w:hAnsi="Times New Roman" w:cs="Times New Roman"/>
          <w:sz w:val="24"/>
          <w:szCs w:val="24"/>
        </w:rPr>
        <w:t>isnis</w:t>
      </w:r>
      <w:r w:rsidRPr="00FA7F86">
        <w:rPr>
          <w:rFonts w:ascii="Times New Roman" w:eastAsia="Times New Roman" w:hAnsi="Times New Roman" w:cs="Times New Roman"/>
          <w:sz w:val="24"/>
          <w:szCs w:val="24"/>
          <w:lang w:val="id-ID"/>
        </w:rPr>
        <w:t>,</w:t>
      </w:r>
      <w:r w:rsidRPr="00FA7F86">
        <w:rPr>
          <w:rFonts w:ascii="Times New Roman" w:eastAsia="Times New Roman" w:hAnsi="Times New Roman" w:cs="Times New Roman"/>
          <w:sz w:val="24"/>
          <w:szCs w:val="24"/>
        </w:rPr>
        <w:t xml:space="preserve"> </w:t>
      </w:r>
      <w:r w:rsidRPr="00FA7F86">
        <w:rPr>
          <w:rFonts w:ascii="Times New Roman" w:eastAsia="Times New Roman" w:hAnsi="Times New Roman" w:cs="Times New Roman"/>
          <w:sz w:val="24"/>
          <w:szCs w:val="24"/>
          <w:lang w:val="id-ID"/>
        </w:rPr>
        <w:t>p</w:t>
      </w:r>
      <w:r w:rsidRPr="00FA7F86">
        <w:rPr>
          <w:rFonts w:ascii="Times New Roman" w:eastAsia="Times New Roman" w:hAnsi="Times New Roman" w:cs="Times New Roman"/>
          <w:sz w:val="24"/>
          <w:szCs w:val="24"/>
        </w:rPr>
        <w:t xml:space="preserve">enghentian </w:t>
      </w:r>
      <w:r w:rsidRPr="00FA7F86">
        <w:rPr>
          <w:rFonts w:ascii="Times New Roman" w:eastAsia="Times New Roman" w:hAnsi="Times New Roman" w:cs="Times New Roman"/>
          <w:sz w:val="24"/>
          <w:szCs w:val="24"/>
          <w:lang w:val="id-ID"/>
        </w:rPr>
        <w:t>s</w:t>
      </w:r>
      <w:r w:rsidRPr="00FA7F86">
        <w:rPr>
          <w:rFonts w:ascii="Times New Roman" w:eastAsia="Times New Roman" w:hAnsi="Times New Roman" w:cs="Times New Roman"/>
          <w:sz w:val="24"/>
          <w:szCs w:val="24"/>
        </w:rPr>
        <w:t xml:space="preserve">ementara </w:t>
      </w:r>
      <w:r w:rsidRPr="00FA7F86">
        <w:rPr>
          <w:rFonts w:ascii="Times New Roman" w:eastAsia="Times New Roman" w:hAnsi="Times New Roman" w:cs="Times New Roman"/>
          <w:sz w:val="24"/>
          <w:szCs w:val="24"/>
          <w:lang w:val="id-ID"/>
        </w:rPr>
        <w:t>a</w:t>
      </w:r>
      <w:r w:rsidRPr="00FA7F86">
        <w:rPr>
          <w:rFonts w:ascii="Times New Roman" w:eastAsia="Times New Roman" w:hAnsi="Times New Roman" w:cs="Times New Roman"/>
          <w:sz w:val="24"/>
          <w:szCs w:val="24"/>
        </w:rPr>
        <w:t xml:space="preserve">lat </w:t>
      </w:r>
      <w:r w:rsidRPr="00FA7F86">
        <w:rPr>
          <w:rFonts w:ascii="Times New Roman" w:eastAsia="Times New Roman" w:hAnsi="Times New Roman" w:cs="Times New Roman"/>
          <w:sz w:val="24"/>
          <w:szCs w:val="24"/>
          <w:lang w:val="id-ID"/>
        </w:rPr>
        <w:t>p</w:t>
      </w:r>
      <w:r w:rsidRPr="00FA7F86">
        <w:rPr>
          <w:rFonts w:ascii="Times New Roman" w:eastAsia="Times New Roman" w:hAnsi="Times New Roman" w:cs="Times New Roman"/>
          <w:sz w:val="24"/>
          <w:szCs w:val="24"/>
        </w:rPr>
        <w:t xml:space="preserve">roduksi </w:t>
      </w:r>
      <w:r w:rsidRPr="00FA7F86">
        <w:rPr>
          <w:rFonts w:ascii="Times New Roman" w:eastAsia="Times New Roman" w:hAnsi="Times New Roman" w:cs="Times New Roman"/>
          <w:sz w:val="24"/>
          <w:szCs w:val="24"/>
          <w:lang w:val="id-ID"/>
        </w:rPr>
        <w:t>s</w:t>
      </w:r>
      <w:r w:rsidRPr="00FA7F86">
        <w:rPr>
          <w:rFonts w:ascii="Times New Roman" w:eastAsia="Times New Roman" w:hAnsi="Times New Roman" w:cs="Times New Roman"/>
          <w:sz w:val="24"/>
          <w:szCs w:val="24"/>
        </w:rPr>
        <w:t xml:space="preserve">ebagian </w:t>
      </w:r>
      <w:r w:rsidRPr="00FA7F86">
        <w:rPr>
          <w:rFonts w:ascii="Times New Roman" w:eastAsia="Times New Roman" w:hAnsi="Times New Roman" w:cs="Times New Roman"/>
          <w:sz w:val="24"/>
          <w:szCs w:val="24"/>
          <w:lang w:val="id-ID"/>
        </w:rPr>
        <w:t>a</w:t>
      </w:r>
      <w:r w:rsidRPr="00FA7F86">
        <w:rPr>
          <w:rFonts w:ascii="Times New Roman" w:eastAsia="Times New Roman" w:hAnsi="Times New Roman" w:cs="Times New Roman"/>
          <w:sz w:val="24"/>
          <w:szCs w:val="24"/>
        </w:rPr>
        <w:t xml:space="preserve">tau </w:t>
      </w:r>
      <w:r w:rsidRPr="00FA7F86">
        <w:rPr>
          <w:rFonts w:ascii="Times New Roman" w:eastAsia="Times New Roman" w:hAnsi="Times New Roman" w:cs="Times New Roman"/>
          <w:sz w:val="24"/>
          <w:szCs w:val="24"/>
          <w:lang w:val="id-ID"/>
        </w:rPr>
        <w:t>s</w:t>
      </w:r>
      <w:r w:rsidRPr="00FA7F86">
        <w:rPr>
          <w:rFonts w:ascii="Times New Roman" w:eastAsia="Times New Roman" w:hAnsi="Times New Roman" w:cs="Times New Roman"/>
          <w:sz w:val="24"/>
          <w:szCs w:val="24"/>
        </w:rPr>
        <w:t xml:space="preserve">eluruhnya </w:t>
      </w:r>
      <w:r w:rsidRPr="00FA7F86">
        <w:rPr>
          <w:rFonts w:ascii="Times New Roman" w:eastAsia="Times New Roman" w:hAnsi="Times New Roman" w:cs="Times New Roman"/>
          <w:sz w:val="24"/>
          <w:szCs w:val="24"/>
          <w:lang w:val="id-ID"/>
        </w:rPr>
        <w:t>d</w:t>
      </w:r>
      <w:r w:rsidRPr="00FA7F86">
        <w:rPr>
          <w:rFonts w:ascii="Times New Roman" w:eastAsia="Times New Roman" w:hAnsi="Times New Roman" w:cs="Times New Roman"/>
          <w:sz w:val="24"/>
          <w:szCs w:val="24"/>
        </w:rPr>
        <w:t xml:space="preserve">an </w:t>
      </w:r>
      <w:r w:rsidRPr="00FA7F86">
        <w:rPr>
          <w:rFonts w:ascii="Times New Roman" w:eastAsia="Times New Roman" w:hAnsi="Times New Roman" w:cs="Times New Roman"/>
          <w:sz w:val="24"/>
          <w:szCs w:val="24"/>
          <w:lang w:val="id-ID"/>
        </w:rPr>
        <w:t>p</w:t>
      </w:r>
      <w:r w:rsidRPr="00FA7F86">
        <w:rPr>
          <w:rFonts w:ascii="Times New Roman" w:eastAsia="Times New Roman" w:hAnsi="Times New Roman" w:cs="Times New Roman"/>
          <w:sz w:val="24"/>
          <w:szCs w:val="24"/>
        </w:rPr>
        <w:t xml:space="preserve">embekuan </w:t>
      </w:r>
      <w:r w:rsidRPr="00FA7F86">
        <w:rPr>
          <w:rFonts w:ascii="Times New Roman" w:eastAsia="Times New Roman" w:hAnsi="Times New Roman" w:cs="Times New Roman"/>
          <w:sz w:val="24"/>
          <w:szCs w:val="24"/>
          <w:lang w:val="id-ID"/>
        </w:rPr>
        <w:t>k</w:t>
      </w:r>
      <w:r w:rsidRPr="00FA7F86">
        <w:rPr>
          <w:rFonts w:ascii="Times New Roman" w:eastAsia="Times New Roman" w:hAnsi="Times New Roman" w:cs="Times New Roman"/>
          <w:sz w:val="24"/>
          <w:szCs w:val="24"/>
        </w:rPr>
        <w:t xml:space="preserve">egiatan </w:t>
      </w:r>
      <w:r w:rsidRPr="00FA7F86">
        <w:rPr>
          <w:rFonts w:ascii="Times New Roman" w:eastAsia="Times New Roman" w:hAnsi="Times New Roman" w:cs="Times New Roman"/>
          <w:sz w:val="24"/>
          <w:szCs w:val="24"/>
          <w:lang w:val="id-ID"/>
        </w:rPr>
        <w:t>u</w:t>
      </w:r>
      <w:r w:rsidRPr="00FA7F86">
        <w:rPr>
          <w:rFonts w:ascii="Times New Roman" w:eastAsia="Times New Roman" w:hAnsi="Times New Roman" w:cs="Times New Roman"/>
          <w:sz w:val="24"/>
          <w:szCs w:val="24"/>
        </w:rPr>
        <w:t>saha.</w:t>
      </w:r>
    </w:p>
    <w:p w14:paraId="126FA5D9" w14:textId="6D5144CB" w:rsidR="00FA7F86" w:rsidRPr="00B0214E" w:rsidRDefault="00FA7F86" w:rsidP="00B0214E">
      <w:pPr>
        <w:spacing w:before="240" w:after="200" w:line="360" w:lineRule="auto"/>
        <w:ind w:firstLine="720"/>
        <w:jc w:val="both"/>
        <w:rPr>
          <w:rFonts w:ascii="Times New Roman" w:eastAsia="Times New Roman" w:hAnsi="Times New Roman" w:cs="Times New Roman"/>
          <w:sz w:val="24"/>
          <w:szCs w:val="24"/>
          <w:lang w:val="id-ID"/>
        </w:rPr>
      </w:pPr>
      <w:r w:rsidRPr="00FA7F86">
        <w:rPr>
          <w:rFonts w:ascii="Times New Roman" w:eastAsia="Times New Roman" w:hAnsi="Times New Roman" w:cs="Times New Roman"/>
          <w:sz w:val="24"/>
          <w:szCs w:val="24"/>
          <w:lang w:val="id-ID"/>
        </w:rPr>
        <w:t>Perlindungan pekerja keselamatan terhadap pekerja. b</w:t>
      </w:r>
      <w:r w:rsidRPr="00FA7F86">
        <w:rPr>
          <w:rFonts w:ascii="Times New Roman" w:eastAsia="Times New Roman" w:hAnsi="Times New Roman" w:cs="Times New Roman"/>
          <w:sz w:val="24"/>
          <w:szCs w:val="24"/>
        </w:rPr>
        <w:t xml:space="preserve">eberapa pasal dalam UU No. 13 Tahun 2003 memberikan perlindungan bagi para pekerja. sebagai manusia yang harus diperlakukan secara manusiawi </w:t>
      </w:r>
      <w:r w:rsidRPr="00FA7F86">
        <w:rPr>
          <w:rFonts w:ascii="Times New Roman" w:eastAsia="Times New Roman" w:hAnsi="Times New Roman" w:cs="Times New Roman"/>
          <w:sz w:val="24"/>
          <w:szCs w:val="24"/>
          <w:lang w:val="id-ID"/>
        </w:rPr>
        <w:t>d</w:t>
      </w:r>
      <w:r w:rsidRPr="00FA7F86">
        <w:rPr>
          <w:rFonts w:ascii="Times New Roman" w:eastAsia="Times New Roman" w:hAnsi="Times New Roman" w:cs="Times New Roman"/>
          <w:sz w:val="24"/>
          <w:szCs w:val="24"/>
        </w:rPr>
        <w:t>engan mempertimbangkan keterbatasan fisik</w:t>
      </w:r>
      <w:r w:rsidRPr="00FA7F86">
        <w:rPr>
          <w:rFonts w:ascii="Times New Roman" w:eastAsia="Times New Roman" w:hAnsi="Times New Roman" w:cs="Times New Roman"/>
          <w:sz w:val="24"/>
          <w:szCs w:val="24"/>
          <w:lang w:val="id-ID"/>
        </w:rPr>
        <w:t xml:space="preserve"> </w:t>
      </w:r>
      <w:r w:rsidRPr="00FA7F86">
        <w:rPr>
          <w:rFonts w:ascii="Times New Roman" w:eastAsia="Times New Roman" w:hAnsi="Times New Roman" w:cs="Times New Roman"/>
          <w:sz w:val="24"/>
          <w:szCs w:val="24"/>
        </w:rPr>
        <w:t xml:space="preserve">pekerja, perlindungan ini mengakui hak-hak </w:t>
      </w:r>
      <w:r w:rsidRPr="00FA7F86">
        <w:rPr>
          <w:rFonts w:ascii="Times New Roman" w:eastAsia="Times New Roman" w:hAnsi="Times New Roman" w:cs="Times New Roman"/>
          <w:sz w:val="24"/>
          <w:szCs w:val="24"/>
          <w:lang w:val="id-ID"/>
        </w:rPr>
        <w:t>pekerja</w:t>
      </w:r>
      <w:r w:rsidRPr="00FA7F86">
        <w:rPr>
          <w:rFonts w:ascii="Times New Roman" w:eastAsia="Times New Roman" w:hAnsi="Times New Roman" w:cs="Times New Roman"/>
          <w:sz w:val="24"/>
          <w:szCs w:val="24"/>
        </w:rPr>
        <w:t>.</w:t>
      </w:r>
      <w:r w:rsidRPr="00FA7F86">
        <w:rPr>
          <w:rFonts w:ascii="Times New Roman" w:eastAsia="Times New Roman" w:hAnsi="Times New Roman" w:cs="Times New Roman"/>
          <w:sz w:val="24"/>
          <w:szCs w:val="24"/>
          <w:lang w:val="id-ID"/>
        </w:rPr>
        <w:t xml:space="preserve"> pengusaha yang tidak membayar THR kepada pekerja /buruh juga dikenai berbagai sanksi administratif. Mulai dari teguran tertulis, pembatasan kegiatan usaha, pengehentian sementara sebagian atau seluruh alat produksi, dan pembekuan kegiatan usaha.</w:t>
      </w:r>
    </w:p>
    <w:p w14:paraId="603A32E6" w14:textId="77777777" w:rsidR="00FA7F86" w:rsidRDefault="00FA7F86" w:rsidP="00B0214E">
      <w:pPr>
        <w:spacing w:after="0" w:line="360" w:lineRule="auto"/>
        <w:jc w:val="both"/>
        <w:outlineLvl w:val="0"/>
        <w:rPr>
          <w:b/>
          <w:color w:val="164A41"/>
          <w:sz w:val="24"/>
          <w:szCs w:val="24"/>
          <w:lang w:val="id-ID"/>
        </w:rPr>
      </w:pPr>
      <w:r w:rsidRPr="00F8014B">
        <w:rPr>
          <w:b/>
          <w:color w:val="164A41"/>
          <w:sz w:val="24"/>
          <w:szCs w:val="24"/>
          <w:lang w:val="id-ID"/>
        </w:rPr>
        <w:t xml:space="preserve">References </w:t>
      </w:r>
    </w:p>
    <w:p w14:paraId="023F0F59" w14:textId="77777777" w:rsidR="00B0214E" w:rsidRPr="00B0214E" w:rsidRDefault="00B0214E" w:rsidP="00B0214E">
      <w:pPr>
        <w:pStyle w:val="FootnoteText"/>
        <w:ind w:left="1276" w:hanging="1276"/>
        <w:rPr>
          <w:rFonts w:ascii="Calibri" w:hAnsi="Calibri" w:cs="Times New Roman"/>
          <w:i/>
          <w:sz w:val="22"/>
          <w:szCs w:val="22"/>
          <w:lang w:val="id-ID"/>
        </w:rPr>
      </w:pPr>
      <w:r w:rsidRPr="00B0214E">
        <w:rPr>
          <w:rFonts w:ascii="Calibri" w:hAnsi="Calibri" w:cs="Times New Roman"/>
          <w:i/>
          <w:sz w:val="22"/>
          <w:szCs w:val="22"/>
          <w:lang w:val="id-ID"/>
        </w:rPr>
        <w:t>C.S.T. Kansil dan Christine S.T. Kansil. 2011. Pengantar ilmu hukum indonesia. Jakarta: Penerbit Rineka Cipta, h.42</w:t>
      </w:r>
    </w:p>
    <w:p w14:paraId="483C7012" w14:textId="77777777" w:rsidR="00B0214E" w:rsidRPr="00B0214E" w:rsidRDefault="00B0214E" w:rsidP="00B0214E">
      <w:pPr>
        <w:pStyle w:val="FootnoteText"/>
        <w:ind w:left="1276" w:hanging="1276"/>
        <w:jc w:val="both"/>
        <w:rPr>
          <w:rFonts w:ascii="Calibri" w:hAnsi="Calibri" w:cs="Times New Roman"/>
          <w:i/>
          <w:sz w:val="22"/>
          <w:szCs w:val="22"/>
          <w:lang w:val="id-ID"/>
        </w:rPr>
      </w:pPr>
      <w:r w:rsidRPr="00B0214E">
        <w:rPr>
          <w:rFonts w:ascii="Calibri" w:hAnsi="Calibri" w:cs="Times New Roman"/>
          <w:i/>
          <w:sz w:val="22"/>
          <w:szCs w:val="22"/>
        </w:rPr>
        <w:t>Esa Nur Aisyah, 2019, “Mekanisme Penyelesaian Pembayaran Tunjuangan Hari Raya Tahun 2017 Oleh Dinas Tenaga Kerja Dan Transmigrasi Daerah Istimewa Yogyakarta” (Skripsi tidak diterbitkan, Fakultas Syari’ah Dan Hukum UIN Sunan Kalijaga Yogyakarta), hlm. 4.</w:t>
      </w:r>
    </w:p>
    <w:p w14:paraId="51A438DC" w14:textId="77777777" w:rsidR="00B0214E" w:rsidRPr="00B0214E" w:rsidRDefault="00B0214E" w:rsidP="00B0214E">
      <w:pPr>
        <w:pStyle w:val="FootnoteText"/>
        <w:ind w:left="1276" w:hanging="1276"/>
        <w:rPr>
          <w:rFonts w:ascii="Calibri" w:hAnsi="Calibri" w:cs="Times New Roman"/>
          <w:i/>
          <w:sz w:val="22"/>
          <w:szCs w:val="22"/>
          <w:lang w:val="id-ID"/>
        </w:rPr>
      </w:pPr>
      <w:r w:rsidRPr="00B0214E">
        <w:rPr>
          <w:rFonts w:ascii="Calibri" w:hAnsi="Calibri" w:cs="Times New Roman"/>
          <w:i/>
          <w:sz w:val="22"/>
          <w:szCs w:val="22"/>
        </w:rPr>
        <w:t>I Wayan Agus Vijayantera, “Pengaturan Tunjangan Hari Raya Kegamaan Sebagai Hak Pekerja Setelah Diterbitkan Peraturan Menteri Tenaga Kerja Nomor 6 Tahun 2016”, Kertha Patrika, Vol. 38 No. 1, (2016), hlm. 144</w:t>
      </w:r>
    </w:p>
    <w:p w14:paraId="242623FE" w14:textId="77777777" w:rsidR="00B0214E" w:rsidRPr="00B0214E" w:rsidRDefault="00B0214E" w:rsidP="00B0214E">
      <w:pPr>
        <w:pStyle w:val="FootnoteText"/>
        <w:ind w:left="1276" w:hanging="1276"/>
        <w:jc w:val="both"/>
        <w:rPr>
          <w:rFonts w:ascii="Calibri" w:hAnsi="Calibri" w:cs="Times New Roman"/>
          <w:i/>
          <w:sz w:val="22"/>
          <w:szCs w:val="22"/>
          <w:lang w:val="id-ID"/>
        </w:rPr>
      </w:pPr>
      <w:r w:rsidRPr="00B0214E">
        <w:rPr>
          <w:rFonts w:ascii="Calibri" w:hAnsi="Calibri" w:cs="Times New Roman"/>
          <w:i/>
          <w:sz w:val="22"/>
          <w:szCs w:val="22"/>
        </w:rPr>
        <w:t>I Wayan Agus Vijayantera, Loc.Cit.</w:t>
      </w:r>
    </w:p>
    <w:p w14:paraId="663F9978" w14:textId="77777777" w:rsidR="00B0214E" w:rsidRPr="00B0214E" w:rsidRDefault="00B0214E" w:rsidP="00B0214E">
      <w:pPr>
        <w:ind w:left="1276" w:hanging="1276"/>
        <w:jc w:val="both"/>
        <w:rPr>
          <w:rFonts w:eastAsia="Times New Roman" w:cs="Times New Roman"/>
          <w:i/>
          <w:lang w:val="id-ID"/>
        </w:rPr>
      </w:pPr>
      <w:r w:rsidRPr="00B0214E">
        <w:rPr>
          <w:rFonts w:eastAsia="Times New Roman" w:cs="Times New Roman"/>
          <w:i/>
          <w:color w:val="000000"/>
        </w:rPr>
        <w:t xml:space="preserve">Luthfi Febryka Nola, “Pengaturan dan Penegakan Hukum Tunjangan Hari Raya Untuk Pekerja”, </w:t>
      </w:r>
      <w:r w:rsidRPr="00B0214E">
        <w:rPr>
          <w:rFonts w:eastAsia="Times New Roman" w:cs="Times New Roman"/>
          <w:i/>
          <w:iCs/>
          <w:color w:val="000000"/>
        </w:rPr>
        <w:t>P3DI</w:t>
      </w:r>
      <w:r w:rsidRPr="00B0214E">
        <w:rPr>
          <w:rFonts w:eastAsia="Times New Roman" w:cs="Times New Roman"/>
          <w:i/>
          <w:color w:val="000000"/>
        </w:rPr>
        <w:t>, Vol. 4, No. 16, (2012), hlm. 1.</w:t>
      </w:r>
    </w:p>
    <w:p w14:paraId="3DF60ED2" w14:textId="3BA213C8" w:rsidR="007F6372" w:rsidRPr="007F6372" w:rsidRDefault="00B0214E" w:rsidP="009C4572">
      <w:pPr>
        <w:ind w:left="1276" w:hanging="1276"/>
        <w:jc w:val="both"/>
        <w:rPr>
          <w:bCs/>
          <w:sz w:val="24"/>
          <w:szCs w:val="24"/>
          <w:lang w:val="id-ID"/>
        </w:rPr>
      </w:pPr>
      <w:r w:rsidRPr="00B0214E">
        <w:rPr>
          <w:rFonts w:eastAsia="Times New Roman" w:cs="Times New Roman"/>
          <w:i/>
          <w:color w:val="000000"/>
        </w:rPr>
        <w:t xml:space="preserve">Zaeni Asyhadie &amp; Rahmawati Kusuma, </w:t>
      </w:r>
      <w:r w:rsidRPr="00B0214E">
        <w:rPr>
          <w:rFonts w:eastAsia="Times New Roman" w:cs="Times New Roman"/>
          <w:i/>
          <w:iCs/>
          <w:color w:val="000000"/>
        </w:rPr>
        <w:t>Hukum Ketenagakerjaan Dalam Teori &amp; Praktik Di</w:t>
      </w:r>
      <w:r w:rsidRPr="00B0214E">
        <w:rPr>
          <w:rFonts w:eastAsia="Times New Roman" w:cs="Times New Roman"/>
          <w:i/>
          <w:iCs/>
          <w:color w:val="000000"/>
          <w:lang w:val="id-ID"/>
        </w:rPr>
        <w:t xml:space="preserve"> </w:t>
      </w:r>
      <w:r w:rsidR="009C4572">
        <w:rPr>
          <w:rFonts w:eastAsia="Times New Roman" w:cs="Times New Roman"/>
          <w:i/>
          <w:iCs/>
          <w:color w:val="000000"/>
        </w:rPr>
        <w:t>Indonesia,Prenada Media Group :Jakarta,2019.hal 119</w:t>
      </w:r>
    </w:p>
    <w:p w14:paraId="5EC575AE" w14:textId="77777777" w:rsidR="00AC4243" w:rsidRPr="00F8014B" w:rsidRDefault="00AC4243" w:rsidP="00AC4243">
      <w:pPr>
        <w:pStyle w:val="FootnoteText"/>
        <w:spacing w:line="480" w:lineRule="auto"/>
        <w:jc w:val="both"/>
        <w:rPr>
          <w:rFonts w:asciiTheme="majorHAnsi" w:hAnsiTheme="majorHAnsi" w:cstheme="majorHAnsi"/>
          <w:sz w:val="24"/>
          <w:szCs w:val="24"/>
        </w:rPr>
      </w:pPr>
    </w:p>
    <w:sectPr w:rsidR="00AC4243" w:rsidRPr="00F8014B" w:rsidSect="00CF6835">
      <w:headerReference w:type="default" r:id="rId21"/>
      <w:footerReference w:type="default" r:id="rId22"/>
      <w:pgSz w:w="11906" w:h="16838"/>
      <w:pgMar w:top="1440" w:right="1440" w:bottom="1440" w:left="1440" w:header="397" w:footer="708" w:gutter="0"/>
      <w:pgNumType w:start="4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4483C" w14:textId="77777777" w:rsidR="009D5DAC" w:rsidRDefault="009D5DAC">
      <w:pPr>
        <w:spacing w:after="0" w:line="240" w:lineRule="auto"/>
      </w:pPr>
      <w:r>
        <w:separator/>
      </w:r>
    </w:p>
  </w:endnote>
  <w:endnote w:type="continuationSeparator" w:id="0">
    <w:p w14:paraId="11E368D2" w14:textId="77777777" w:rsidR="009D5DAC" w:rsidRDefault="009D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287" w:usb1="00000000" w:usb2="00000000" w:usb3="00000000" w:csb0="000000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EB Garamond">
    <w:altName w:val="Times New Roman"/>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2"/>
        <w:szCs w:val="12"/>
        <w:lang w:val="id-ID"/>
      </w:rPr>
      <w:id w:val="1037393491"/>
      <w:docPartObj>
        <w:docPartGallery w:val="Page Numbers (Bottom of Page)"/>
        <w:docPartUnique/>
      </w:docPartObj>
    </w:sdtPr>
    <w:sdtEndPr>
      <w:rPr>
        <w:sz w:val="22"/>
        <w:szCs w:val="22"/>
      </w:rPr>
    </w:sdtEndPr>
    <w:sdtContent>
      <w:p w14:paraId="74ADE088" w14:textId="616E0877" w:rsidR="00F8014B" w:rsidRPr="00F41DEB" w:rsidRDefault="00B0214E" w:rsidP="00D42413">
        <w:pPr>
          <w:pStyle w:val="Footer"/>
          <w:jc w:val="right"/>
          <w:rPr>
            <w:b/>
            <w:i/>
            <w:lang w:val="id-ID"/>
          </w:rPr>
        </w:pPr>
        <w:r w:rsidRPr="00B0214E">
          <w:rPr>
            <w:sz w:val="12"/>
            <w:szCs w:val="12"/>
            <w:lang w:val="id-ID"/>
          </w:rPr>
          <w:t>PERLINDUNGAN HUKUM TUNJANGAN HARI RAYA PEKERJA YANG TIDAK DI BERIKAN OLEH PT GUNBUSTER NICKEL INDUSTRI (GNI) SULAWESI TENGAH</w:t>
        </w:r>
        <w:r w:rsidR="00F8014B">
          <w:rPr>
            <w:lang w:val="id-ID"/>
          </w:rPr>
          <w:t xml:space="preserve">| </w:t>
        </w:r>
        <w:r w:rsidR="00F8014B">
          <w:fldChar w:fldCharType="begin"/>
        </w:r>
        <w:r w:rsidR="00F8014B">
          <w:instrText>PAGE   \* MERGEFORMAT</w:instrText>
        </w:r>
        <w:r w:rsidR="00F8014B">
          <w:fldChar w:fldCharType="separate"/>
        </w:r>
        <w:r w:rsidR="009C4572" w:rsidRPr="009C4572">
          <w:rPr>
            <w:noProof/>
            <w:lang w:val="id-ID"/>
          </w:rPr>
          <w:t>14</w:t>
        </w:r>
        <w:r w:rsidR="00F8014B">
          <w:fldChar w:fldCharType="end"/>
        </w:r>
      </w:p>
    </w:sdtContent>
  </w:sdt>
  <w:p w14:paraId="576392FC" w14:textId="77777777" w:rsidR="00F8014B" w:rsidRDefault="00F80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5CE422" w14:textId="77777777" w:rsidR="009D5DAC" w:rsidRDefault="009D5DAC">
      <w:pPr>
        <w:spacing w:after="0" w:line="240" w:lineRule="auto"/>
      </w:pPr>
      <w:r>
        <w:separator/>
      </w:r>
    </w:p>
  </w:footnote>
  <w:footnote w:type="continuationSeparator" w:id="0">
    <w:p w14:paraId="75C1D533" w14:textId="77777777" w:rsidR="009D5DAC" w:rsidRDefault="009D5DAC">
      <w:pPr>
        <w:spacing w:after="0" w:line="240" w:lineRule="auto"/>
      </w:pPr>
      <w:r>
        <w:continuationSeparator/>
      </w:r>
    </w:p>
  </w:footnote>
  <w:footnote w:id="1">
    <w:p w14:paraId="41E5431C" w14:textId="77777777" w:rsidR="00FA7F86" w:rsidRDefault="00FA7F86" w:rsidP="00FA7F86">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lang w:val="id-ID"/>
        </w:rPr>
        <w:t>C.S.T. Kansil dan Christine S.T. Kansil. 2011. Pengantar ilmu hukum indonesia. Jakarta: Penerbit Rineka Cipta, h.42</w:t>
      </w:r>
    </w:p>
  </w:footnote>
  <w:footnote w:id="2">
    <w:p w14:paraId="134C530E" w14:textId="77777777" w:rsidR="00FA7F86" w:rsidRDefault="00FA7F86" w:rsidP="00FA7F86">
      <w:pPr>
        <w:pStyle w:val="FootnoteText"/>
        <w:rPr>
          <w:rFonts w:ascii="Times New Roman" w:hAnsi="Times New Roman" w:cs="Times New Roman"/>
          <w:lang w:val="id-ID"/>
        </w:rPr>
      </w:pPr>
      <w:r>
        <w:rPr>
          <w:rStyle w:val="FootnoteReference"/>
        </w:rPr>
        <w:footnoteRef/>
      </w:r>
      <w:r>
        <w:t xml:space="preserve"> </w:t>
      </w:r>
      <w:r>
        <w:rPr>
          <w:rFonts w:ascii="Times New Roman" w:hAnsi="Times New Roman" w:cs="Times New Roman"/>
        </w:rPr>
        <w:t>I Wayan Agus Vijayantera, “Pengaturan Tunjangan Hari Raya Kegamaan Sebagai Hak Pekerja Setelah Diterbitkan Peraturan Menteri Tenaga Kerja Nomor 6 Tahun 2016”, Kertha Patrika, Vol. 38 No. 1, (2016), hlm. 144</w:t>
      </w:r>
    </w:p>
  </w:footnote>
  <w:footnote w:id="3">
    <w:p w14:paraId="721AF74E" w14:textId="77777777" w:rsidR="00FA7F86" w:rsidRDefault="00FA7F86" w:rsidP="00FA7F86">
      <w:pPr>
        <w:pStyle w:val="FootnoteText"/>
        <w:jc w:val="both"/>
        <w:rPr>
          <w:rFonts w:ascii="Times New Roman" w:hAnsi="Times New Roman" w:cs="Times New Roman"/>
          <w:lang w:val="id-ID"/>
        </w:rPr>
      </w:pPr>
      <w:r>
        <w:rPr>
          <w:rStyle w:val="FootnoteReference"/>
        </w:rPr>
        <w:footnoteRef/>
      </w:r>
      <w:r>
        <w:t xml:space="preserve"> </w:t>
      </w:r>
      <w:r>
        <w:rPr>
          <w:rFonts w:ascii="Times New Roman" w:hAnsi="Times New Roman" w:cs="Times New Roman"/>
        </w:rPr>
        <w:t>Esa Nur Aisyah, 2019, “Mekanisme Penyelesaian Pembayaran Tunjuangan Hari Raya Tahun 2017 Oleh Dinas Tenaga Kerja Dan Transmigrasi Daerah Istimewa Yogyakarta” (Skripsi tidak diterbitkan, Fakultas Syari’ah Dan Hukum UIN Sunan Kalijaga Yogyakarta), hlm. 4.</w:t>
      </w:r>
    </w:p>
  </w:footnote>
  <w:footnote w:id="4">
    <w:p w14:paraId="0F8E6685" w14:textId="77777777" w:rsidR="00FA7F86" w:rsidRDefault="00FA7F86" w:rsidP="00FA7F86">
      <w:pPr>
        <w:pStyle w:val="FootnoteText"/>
        <w:jc w:val="both"/>
        <w:rPr>
          <w:rFonts w:ascii="Times New Roman" w:hAnsi="Times New Roman" w:cs="Times New Roman"/>
          <w:sz w:val="24"/>
          <w:szCs w:val="24"/>
          <w:lang w:val="id-ID"/>
        </w:rPr>
      </w:pPr>
      <w:r>
        <w:rPr>
          <w:rStyle w:val="FootnoteReference"/>
        </w:rPr>
        <w:footnoteRef/>
      </w:r>
      <w:r>
        <w:t xml:space="preserve"> </w:t>
      </w:r>
      <w:r>
        <w:rPr>
          <w:rFonts w:ascii="Times New Roman" w:hAnsi="Times New Roman" w:cs="Times New Roman"/>
          <w:sz w:val="24"/>
          <w:szCs w:val="24"/>
        </w:rPr>
        <w:t>I Wayan Agus Vijayantera, Loc.Cit.</w:t>
      </w:r>
    </w:p>
  </w:footnote>
  <w:footnote w:id="5">
    <w:p w14:paraId="64FFC778" w14:textId="77777777" w:rsidR="00FA7F86" w:rsidRDefault="00FA7F86" w:rsidP="00FA7F86">
      <w:pPr>
        <w:jc w:val="both"/>
        <w:rPr>
          <w:rFonts w:ascii="Times New Roman" w:eastAsia="Times New Roman" w:hAnsi="Times New Roman" w:cs="Times New Roman"/>
          <w:sz w:val="24"/>
          <w:szCs w:val="24"/>
          <w:lang w:val="id-ID"/>
        </w:rPr>
      </w:pPr>
      <w:r>
        <w:rPr>
          <w:rStyle w:val="FootnoteReference"/>
        </w:rPr>
        <w:footnoteRef/>
      </w:r>
      <w:r>
        <w:t xml:space="preserve"> </w:t>
      </w:r>
      <w:r>
        <w:rPr>
          <w:rFonts w:ascii="Times New Roman" w:eastAsia="Times New Roman" w:hAnsi="Times New Roman" w:cs="Times New Roman"/>
          <w:color w:val="000000"/>
          <w:sz w:val="20"/>
          <w:szCs w:val="20"/>
        </w:rPr>
        <w:t xml:space="preserve">Luthfi Febryka Nola, “Pengaturan dan Penegakan Hukum Tunjangan Hari Raya Untuk Pekerja”, </w:t>
      </w:r>
      <w:r>
        <w:rPr>
          <w:rFonts w:ascii="Times New Roman" w:eastAsia="Times New Roman" w:hAnsi="Times New Roman" w:cs="Times New Roman"/>
          <w:i/>
          <w:iCs/>
          <w:color w:val="000000"/>
          <w:sz w:val="20"/>
          <w:szCs w:val="20"/>
        </w:rPr>
        <w:t>P3DI</w:t>
      </w:r>
      <w:r>
        <w:rPr>
          <w:rFonts w:ascii="Times New Roman" w:eastAsia="Times New Roman" w:hAnsi="Times New Roman" w:cs="Times New Roman"/>
          <w:color w:val="000000"/>
          <w:sz w:val="20"/>
          <w:szCs w:val="20"/>
        </w:rPr>
        <w:t>, Vol. 4, No. 16, (2012), hlm. 1.</w:t>
      </w:r>
    </w:p>
  </w:footnote>
  <w:footnote w:id="6">
    <w:p w14:paraId="40247BB9" w14:textId="77777777" w:rsidR="00FA7F86" w:rsidRPr="008653CC" w:rsidRDefault="00FA7F86" w:rsidP="00FA7F86">
      <w:pPr>
        <w:pStyle w:val="FootnoteText"/>
        <w:rPr>
          <w:lang w:val="id-ID"/>
        </w:rPr>
      </w:pPr>
      <w:r>
        <w:rPr>
          <w:rStyle w:val="FootnoteReference"/>
        </w:rPr>
        <w:footnoteRef/>
      </w:r>
      <w:r>
        <w:t xml:space="preserve"> </w:t>
      </w:r>
      <w:r w:rsidRPr="00F408BC">
        <w:rPr>
          <w:rFonts w:ascii="Times New Roman" w:hAnsi="Times New Roman" w:cs="Times New Roman"/>
          <w:lang w:val="id-ID"/>
        </w:rPr>
        <w:t>Hasil wawancara dengan pekerja pada tanggal 15 maret 2024</w:t>
      </w:r>
    </w:p>
  </w:footnote>
  <w:footnote w:id="7">
    <w:p w14:paraId="52AB38FB" w14:textId="77777777" w:rsidR="00FA7F86" w:rsidRPr="00383091" w:rsidRDefault="00FA7F86" w:rsidP="00FA7F86">
      <w:pPr>
        <w:pStyle w:val="FootnoteText"/>
        <w:rPr>
          <w:lang w:val="id-ID"/>
        </w:rPr>
      </w:pPr>
      <w:r>
        <w:rPr>
          <w:rStyle w:val="FootnoteReference"/>
        </w:rPr>
        <w:footnoteRef/>
      </w:r>
      <w:r>
        <w:t xml:space="preserve"> </w:t>
      </w:r>
      <w:r>
        <w:rPr>
          <w:lang w:val="id-ID"/>
        </w:rPr>
        <w:t>Hasil wawancara dengan pekerja pada tanggal 15 maret 2024</w:t>
      </w:r>
    </w:p>
  </w:footnote>
  <w:footnote w:id="8">
    <w:p w14:paraId="0DB5C7AF" w14:textId="77777777" w:rsidR="00FA7F86" w:rsidRPr="00F408BC" w:rsidRDefault="00FA7F86" w:rsidP="00FA7F86">
      <w:pPr>
        <w:pStyle w:val="FootnoteText"/>
        <w:rPr>
          <w:rFonts w:ascii="Times New Roman" w:hAnsi="Times New Roman" w:cs="Times New Roman"/>
          <w:lang w:val="id-ID"/>
        </w:rPr>
      </w:pPr>
      <w:r>
        <w:rPr>
          <w:rStyle w:val="FootnoteReference"/>
        </w:rPr>
        <w:footnoteRef/>
      </w:r>
      <w:r>
        <w:t xml:space="preserve"> </w:t>
      </w:r>
      <w:r w:rsidRPr="00F408BC">
        <w:rPr>
          <w:rFonts w:ascii="Times New Roman" w:hAnsi="Times New Roman" w:cs="Times New Roman"/>
          <w:lang w:val="id-ID"/>
        </w:rPr>
        <w:t>Hasil wawancara dengan pekerja pada tanggal 15 maret 2024</w:t>
      </w:r>
    </w:p>
    <w:p w14:paraId="11BA3787" w14:textId="77777777" w:rsidR="00FA7F86" w:rsidRPr="00F408BC" w:rsidRDefault="00FA7F86" w:rsidP="00FA7F86">
      <w:pPr>
        <w:pStyle w:val="FootnoteText"/>
        <w:rPr>
          <w:lang w:val="id-ID"/>
        </w:rPr>
      </w:pPr>
    </w:p>
    <w:p w14:paraId="2FF0FD4D" w14:textId="77777777" w:rsidR="00FA7F86" w:rsidRPr="00E63FE5" w:rsidRDefault="00FA7F86" w:rsidP="00FA7F86">
      <w:pPr>
        <w:pStyle w:val="FootnoteText"/>
        <w:rPr>
          <w:lang w:val="id-ID"/>
        </w:rPr>
      </w:pPr>
    </w:p>
  </w:footnote>
  <w:footnote w:id="9">
    <w:p w14:paraId="788551B2" w14:textId="77777777" w:rsidR="00FA7F86" w:rsidRPr="00F408BC" w:rsidRDefault="00FA7F86" w:rsidP="00FA7F86">
      <w:pPr>
        <w:pStyle w:val="FootnoteText"/>
        <w:rPr>
          <w:rFonts w:ascii="Times New Roman" w:hAnsi="Times New Roman" w:cs="Times New Roman"/>
          <w:lang w:val="id-ID"/>
        </w:rPr>
      </w:pPr>
      <w:r>
        <w:rPr>
          <w:rStyle w:val="FootnoteReference"/>
        </w:rPr>
        <w:footnoteRef/>
      </w:r>
      <w:r>
        <w:t xml:space="preserve"> </w:t>
      </w:r>
      <w:r w:rsidRPr="00F408BC">
        <w:rPr>
          <w:rFonts w:ascii="Times New Roman" w:hAnsi="Times New Roman" w:cs="Times New Roman"/>
          <w:lang w:val="id-ID"/>
        </w:rPr>
        <w:t>Hasil wawancara dengan pekerja pada tanggal 15 maret 2024</w:t>
      </w:r>
    </w:p>
    <w:p w14:paraId="2D9C0497" w14:textId="77777777" w:rsidR="00FA7F86" w:rsidRPr="00F408BC" w:rsidRDefault="00FA7F86" w:rsidP="00FA7F86">
      <w:pPr>
        <w:pStyle w:val="FootnoteText"/>
        <w:rPr>
          <w:lang w:val="id-ID"/>
        </w:rPr>
      </w:pPr>
    </w:p>
    <w:p w14:paraId="5568D01F" w14:textId="77777777" w:rsidR="00FA7F86" w:rsidRPr="00610F9A" w:rsidRDefault="00FA7F86" w:rsidP="00FA7F86">
      <w:pPr>
        <w:pStyle w:val="FootnoteText"/>
        <w:rPr>
          <w:lang w:val="id-ID"/>
        </w:rPr>
      </w:pPr>
    </w:p>
  </w:footnote>
  <w:footnote w:id="10">
    <w:p w14:paraId="3105291A" w14:textId="77777777" w:rsidR="00FA7F86" w:rsidRPr="00C51733" w:rsidRDefault="00FA7F86" w:rsidP="00FA7F86">
      <w:pPr>
        <w:rPr>
          <w:rFonts w:ascii="Times New Roman" w:eastAsia="Times New Roman" w:hAnsi="Times New Roman" w:cs="Times New Roman"/>
          <w:i/>
          <w:iCs/>
          <w:color w:val="000000"/>
          <w:sz w:val="20"/>
          <w:szCs w:val="20"/>
        </w:rPr>
      </w:pPr>
      <w:r>
        <w:rPr>
          <w:rStyle w:val="FootnoteReference"/>
        </w:rPr>
        <w:footnoteRef/>
      </w:r>
      <w:r>
        <w:t xml:space="preserve"> </w:t>
      </w:r>
      <w:r w:rsidRPr="00C51733">
        <w:rPr>
          <w:rFonts w:ascii="Times New Roman" w:eastAsia="Times New Roman" w:hAnsi="Times New Roman" w:cs="Times New Roman"/>
          <w:color w:val="000000"/>
          <w:sz w:val="20"/>
          <w:szCs w:val="20"/>
        </w:rPr>
        <w:t xml:space="preserve">Zaeni Asyhadie &amp; Rahmawati Kusuma, </w:t>
      </w:r>
      <w:r w:rsidRPr="00C51733">
        <w:rPr>
          <w:rFonts w:ascii="Times New Roman" w:eastAsia="Times New Roman" w:hAnsi="Times New Roman" w:cs="Times New Roman"/>
          <w:i/>
          <w:iCs/>
          <w:color w:val="000000"/>
          <w:sz w:val="20"/>
          <w:szCs w:val="20"/>
        </w:rPr>
        <w:t>Hukum Ketenagakerjaan Dalam Teori &amp; Praktik Di</w:t>
      </w:r>
      <w:r w:rsidRPr="00C51733">
        <w:rPr>
          <w:rFonts w:ascii="Times New Roman" w:eastAsia="Times New Roman" w:hAnsi="Times New Roman" w:cs="Times New Roman"/>
          <w:i/>
          <w:iCs/>
          <w:color w:val="000000"/>
          <w:sz w:val="20"/>
          <w:szCs w:val="20"/>
          <w:lang w:val="id-ID"/>
        </w:rPr>
        <w:t xml:space="preserve"> </w:t>
      </w:r>
      <w:r w:rsidRPr="00C51733">
        <w:rPr>
          <w:rFonts w:ascii="Times New Roman" w:eastAsia="Times New Roman" w:hAnsi="Times New Roman" w:cs="Times New Roman"/>
          <w:i/>
          <w:iCs/>
          <w:color w:val="000000"/>
          <w:sz w:val="20"/>
          <w:szCs w:val="20"/>
        </w:rPr>
        <w:t xml:space="preserve">lndonesia, </w:t>
      </w:r>
      <w:r w:rsidRPr="00C51733">
        <w:rPr>
          <w:rFonts w:ascii="Times New Roman" w:eastAsia="Times New Roman" w:hAnsi="Times New Roman" w:cs="Times New Roman"/>
          <w:color w:val="000000"/>
          <w:sz w:val="20"/>
          <w:szCs w:val="20"/>
        </w:rPr>
        <w:t>Prenada Media Group : Jakarta, 2019. hal. 119</w:t>
      </w:r>
    </w:p>
  </w:footnote>
  <w:footnote w:id="11">
    <w:p w14:paraId="2E069D3E" w14:textId="77777777" w:rsidR="00FA7F86" w:rsidRPr="004977E8" w:rsidRDefault="00FA7F86" w:rsidP="00FA7F86">
      <w:pPr>
        <w:pStyle w:val="FootnoteText"/>
        <w:rPr>
          <w:rFonts w:ascii="Times New Roman" w:hAnsi="Times New Roman" w:cs="Times New Roman"/>
          <w:lang w:val="id-ID"/>
        </w:rPr>
      </w:pPr>
      <w:r>
        <w:rPr>
          <w:rStyle w:val="FootnoteReference"/>
        </w:rPr>
        <w:footnoteRef/>
      </w:r>
      <w:r>
        <w:t xml:space="preserve"> </w:t>
      </w:r>
      <w:r w:rsidRPr="004977E8">
        <w:rPr>
          <w:rFonts w:ascii="Times New Roman" w:hAnsi="Times New Roman" w:cs="Times New Roman"/>
          <w:lang w:val="id-ID"/>
        </w:rPr>
        <w:t>Hasil wawancara dengan pekerja pada tanggal 15 maret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DAA1B" w14:textId="28E3A421" w:rsidR="00AC4243" w:rsidRDefault="00AC4243">
    <w:pPr>
      <w:pStyle w:val="Header"/>
    </w:pPr>
  </w:p>
  <w:p w14:paraId="401C430E" w14:textId="77777777" w:rsidR="00AC4243" w:rsidRDefault="00AC42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ED36FD"/>
    <w:multiLevelType w:val="multilevel"/>
    <w:tmpl w:val="9280D8B4"/>
    <w:lvl w:ilvl="0">
      <w:start w:val="1"/>
      <w:numFmt w:val="decimal"/>
      <w:lvlText w:val="%1."/>
      <w:lvlJc w:val="left"/>
      <w:pPr>
        <w:ind w:left="950" w:hanging="360"/>
      </w:pPr>
    </w:lvl>
    <w:lvl w:ilvl="1">
      <w:start w:val="1"/>
      <w:numFmt w:val="lowerLetter"/>
      <w:lvlText w:val="%2."/>
      <w:lvlJc w:val="left"/>
      <w:pPr>
        <w:ind w:left="1670" w:hanging="360"/>
      </w:pPr>
    </w:lvl>
    <w:lvl w:ilvl="2">
      <w:start w:val="1"/>
      <w:numFmt w:val="lowerRoman"/>
      <w:lvlText w:val="%3."/>
      <w:lvlJc w:val="right"/>
      <w:pPr>
        <w:ind w:left="2390" w:hanging="180"/>
      </w:pPr>
    </w:lvl>
    <w:lvl w:ilvl="3">
      <w:start w:val="1"/>
      <w:numFmt w:val="decimal"/>
      <w:lvlText w:val="%4."/>
      <w:lvlJc w:val="left"/>
      <w:pPr>
        <w:ind w:left="3110" w:hanging="360"/>
      </w:pPr>
    </w:lvl>
    <w:lvl w:ilvl="4">
      <w:start w:val="1"/>
      <w:numFmt w:val="lowerLetter"/>
      <w:lvlText w:val="%5."/>
      <w:lvlJc w:val="left"/>
      <w:pPr>
        <w:ind w:left="3830" w:hanging="360"/>
      </w:pPr>
    </w:lvl>
    <w:lvl w:ilvl="5">
      <w:start w:val="1"/>
      <w:numFmt w:val="lowerRoman"/>
      <w:lvlText w:val="%6."/>
      <w:lvlJc w:val="right"/>
      <w:pPr>
        <w:ind w:left="4550" w:hanging="180"/>
      </w:pPr>
    </w:lvl>
    <w:lvl w:ilvl="6">
      <w:start w:val="1"/>
      <w:numFmt w:val="decimal"/>
      <w:lvlText w:val="%7."/>
      <w:lvlJc w:val="left"/>
      <w:pPr>
        <w:ind w:left="5270" w:hanging="360"/>
      </w:pPr>
    </w:lvl>
    <w:lvl w:ilvl="7">
      <w:start w:val="1"/>
      <w:numFmt w:val="lowerLetter"/>
      <w:lvlText w:val="%8."/>
      <w:lvlJc w:val="left"/>
      <w:pPr>
        <w:ind w:left="5990" w:hanging="360"/>
      </w:pPr>
    </w:lvl>
    <w:lvl w:ilvl="8">
      <w:start w:val="1"/>
      <w:numFmt w:val="lowerRoman"/>
      <w:lvlText w:val="%9."/>
      <w:lvlJc w:val="right"/>
      <w:pPr>
        <w:ind w:left="6710" w:hanging="180"/>
      </w:pPr>
    </w:lvl>
  </w:abstractNum>
  <w:abstractNum w:abstractNumId="1" w15:restartNumberingAfterBreak="0">
    <w:nsid w:val="07144445"/>
    <w:multiLevelType w:val="multilevel"/>
    <w:tmpl w:val="B62A0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305D44"/>
    <w:multiLevelType w:val="multilevel"/>
    <w:tmpl w:val="A6C8BD8A"/>
    <w:lvl w:ilvl="0">
      <w:start w:val="1"/>
      <w:numFmt w:val="decimal"/>
      <w:lvlText w:val="%1."/>
      <w:lvlJc w:val="left"/>
      <w:pPr>
        <w:ind w:left="720" w:hanging="360"/>
      </w:pPr>
    </w:lvl>
    <w:lvl w:ilvl="1">
      <w:start w:val="1"/>
      <w:numFmt w:val="lowerLetter"/>
      <w:lvlText w:val="%2."/>
      <w:lvlJc w:val="left"/>
      <w:pPr>
        <w:ind w:left="1440" w:hanging="360"/>
      </w:pPr>
      <w:rPr>
        <w:rFonts w:ascii="Trebuchet MS" w:eastAsia="Trebuchet MS" w:hAnsi="Trebuchet MS" w:cs="Trebuchet M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4E66B2"/>
    <w:multiLevelType w:val="multilevel"/>
    <w:tmpl w:val="290C2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3F3BE0"/>
    <w:multiLevelType w:val="multilevel"/>
    <w:tmpl w:val="A3DEE732"/>
    <w:lvl w:ilvl="0">
      <w:start w:val="1"/>
      <w:numFmt w:val="bullet"/>
      <w:lvlText w:val="●"/>
      <w:lvlJc w:val="left"/>
      <w:pPr>
        <w:ind w:left="3600" w:hanging="360"/>
      </w:pPr>
      <w:rPr>
        <w:rFonts w:ascii="Noto Sans Symbols" w:eastAsia="Noto Sans Symbols" w:hAnsi="Noto Sans Symbols" w:cs="Noto Sans Symbols"/>
      </w:rPr>
    </w:lvl>
    <w:lvl w:ilvl="1">
      <w:start w:val="1"/>
      <w:numFmt w:val="bullet"/>
      <w:lvlText w:val="o"/>
      <w:lvlJc w:val="left"/>
      <w:pPr>
        <w:ind w:left="4320" w:hanging="360"/>
      </w:pPr>
      <w:rPr>
        <w:rFonts w:ascii="Courier New" w:eastAsia="Courier New" w:hAnsi="Courier New" w:cs="Courier New"/>
      </w:rPr>
    </w:lvl>
    <w:lvl w:ilvl="2">
      <w:start w:val="1"/>
      <w:numFmt w:val="bullet"/>
      <w:lvlText w:val="▪"/>
      <w:lvlJc w:val="left"/>
      <w:pPr>
        <w:ind w:left="5040" w:hanging="360"/>
      </w:pPr>
      <w:rPr>
        <w:rFonts w:ascii="Noto Sans Symbols" w:eastAsia="Noto Sans Symbols" w:hAnsi="Noto Sans Symbols" w:cs="Noto Sans Symbols"/>
      </w:rPr>
    </w:lvl>
    <w:lvl w:ilvl="3">
      <w:start w:val="1"/>
      <w:numFmt w:val="bullet"/>
      <w:lvlText w:val="●"/>
      <w:lvlJc w:val="left"/>
      <w:pPr>
        <w:ind w:left="5760" w:hanging="360"/>
      </w:pPr>
      <w:rPr>
        <w:rFonts w:ascii="Noto Sans Symbols" w:eastAsia="Noto Sans Symbols" w:hAnsi="Noto Sans Symbols" w:cs="Noto Sans Symbols"/>
      </w:rPr>
    </w:lvl>
    <w:lvl w:ilvl="4">
      <w:start w:val="1"/>
      <w:numFmt w:val="bullet"/>
      <w:lvlText w:val="o"/>
      <w:lvlJc w:val="left"/>
      <w:pPr>
        <w:ind w:left="6480" w:hanging="360"/>
      </w:pPr>
      <w:rPr>
        <w:rFonts w:ascii="Courier New" w:eastAsia="Courier New" w:hAnsi="Courier New" w:cs="Courier New"/>
      </w:rPr>
    </w:lvl>
    <w:lvl w:ilvl="5">
      <w:start w:val="1"/>
      <w:numFmt w:val="bullet"/>
      <w:lvlText w:val="▪"/>
      <w:lvlJc w:val="left"/>
      <w:pPr>
        <w:ind w:left="7200" w:hanging="360"/>
      </w:pPr>
      <w:rPr>
        <w:rFonts w:ascii="Noto Sans Symbols" w:eastAsia="Noto Sans Symbols" w:hAnsi="Noto Sans Symbols" w:cs="Noto Sans Symbols"/>
      </w:rPr>
    </w:lvl>
    <w:lvl w:ilvl="6">
      <w:start w:val="1"/>
      <w:numFmt w:val="bullet"/>
      <w:lvlText w:val="●"/>
      <w:lvlJc w:val="left"/>
      <w:pPr>
        <w:ind w:left="7920" w:hanging="360"/>
      </w:pPr>
      <w:rPr>
        <w:rFonts w:ascii="Noto Sans Symbols" w:eastAsia="Noto Sans Symbols" w:hAnsi="Noto Sans Symbols" w:cs="Noto Sans Symbols"/>
      </w:rPr>
    </w:lvl>
    <w:lvl w:ilvl="7">
      <w:start w:val="1"/>
      <w:numFmt w:val="bullet"/>
      <w:lvlText w:val="o"/>
      <w:lvlJc w:val="left"/>
      <w:pPr>
        <w:ind w:left="8640" w:hanging="360"/>
      </w:pPr>
      <w:rPr>
        <w:rFonts w:ascii="Courier New" w:eastAsia="Courier New" w:hAnsi="Courier New" w:cs="Courier New"/>
      </w:rPr>
    </w:lvl>
    <w:lvl w:ilvl="8">
      <w:start w:val="1"/>
      <w:numFmt w:val="bullet"/>
      <w:lvlText w:val="▪"/>
      <w:lvlJc w:val="left"/>
      <w:pPr>
        <w:ind w:left="9360" w:hanging="360"/>
      </w:pPr>
      <w:rPr>
        <w:rFonts w:ascii="Noto Sans Symbols" w:eastAsia="Noto Sans Symbols" w:hAnsi="Noto Sans Symbols" w:cs="Noto Sans Symbols"/>
      </w:rPr>
    </w:lvl>
  </w:abstractNum>
  <w:abstractNum w:abstractNumId="5" w15:restartNumberingAfterBreak="0">
    <w:nsid w:val="1A2D6EE2"/>
    <w:multiLevelType w:val="multilevel"/>
    <w:tmpl w:val="5EA43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38F578D"/>
    <w:multiLevelType w:val="hybridMultilevel"/>
    <w:tmpl w:val="2F96E230"/>
    <w:lvl w:ilvl="0" w:tplc="D160F98A">
      <w:start w:val="1"/>
      <w:numFmt w:val="upperLetter"/>
      <w:lvlText w:val="%1."/>
      <w:lvlJc w:val="left"/>
      <w:pPr>
        <w:ind w:left="1080" w:hanging="360"/>
      </w:pPr>
      <w:rPr>
        <w:rFonts w:hint="default"/>
        <w:b/>
      </w:r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925A0C"/>
    <w:multiLevelType w:val="multilevel"/>
    <w:tmpl w:val="7C880098"/>
    <w:lvl w:ilvl="0">
      <w:start w:val="1"/>
      <w:numFmt w:val="decimal"/>
      <w:lvlText w:val="%1."/>
      <w:lvlJc w:val="left"/>
      <w:pPr>
        <w:ind w:left="677" w:hanging="360"/>
      </w:pPr>
    </w:lvl>
    <w:lvl w:ilvl="1">
      <w:start w:val="1"/>
      <w:numFmt w:val="lowerLetter"/>
      <w:lvlText w:val="%2."/>
      <w:lvlJc w:val="left"/>
      <w:pPr>
        <w:ind w:left="1397" w:hanging="360"/>
      </w:pPr>
    </w:lvl>
    <w:lvl w:ilvl="2">
      <w:start w:val="1"/>
      <w:numFmt w:val="lowerRoman"/>
      <w:lvlText w:val="%3."/>
      <w:lvlJc w:val="right"/>
      <w:pPr>
        <w:ind w:left="2117" w:hanging="180"/>
      </w:pPr>
    </w:lvl>
    <w:lvl w:ilvl="3">
      <w:start w:val="1"/>
      <w:numFmt w:val="decimal"/>
      <w:lvlText w:val="%4."/>
      <w:lvlJc w:val="left"/>
      <w:pPr>
        <w:ind w:left="2837" w:hanging="360"/>
      </w:pPr>
    </w:lvl>
    <w:lvl w:ilvl="4">
      <w:start w:val="1"/>
      <w:numFmt w:val="lowerLetter"/>
      <w:lvlText w:val="%5."/>
      <w:lvlJc w:val="left"/>
      <w:pPr>
        <w:ind w:left="3557" w:hanging="360"/>
      </w:pPr>
    </w:lvl>
    <w:lvl w:ilvl="5">
      <w:start w:val="1"/>
      <w:numFmt w:val="lowerRoman"/>
      <w:lvlText w:val="%6."/>
      <w:lvlJc w:val="right"/>
      <w:pPr>
        <w:ind w:left="4277" w:hanging="180"/>
      </w:pPr>
    </w:lvl>
    <w:lvl w:ilvl="6">
      <w:start w:val="1"/>
      <w:numFmt w:val="decimal"/>
      <w:lvlText w:val="%7."/>
      <w:lvlJc w:val="left"/>
      <w:pPr>
        <w:ind w:left="4997" w:hanging="360"/>
      </w:pPr>
    </w:lvl>
    <w:lvl w:ilvl="7">
      <w:start w:val="1"/>
      <w:numFmt w:val="lowerLetter"/>
      <w:lvlText w:val="%8."/>
      <w:lvlJc w:val="left"/>
      <w:pPr>
        <w:ind w:left="5717" w:hanging="360"/>
      </w:pPr>
    </w:lvl>
    <w:lvl w:ilvl="8">
      <w:start w:val="1"/>
      <w:numFmt w:val="lowerRoman"/>
      <w:lvlText w:val="%9."/>
      <w:lvlJc w:val="right"/>
      <w:pPr>
        <w:ind w:left="6437" w:hanging="180"/>
      </w:pPr>
    </w:lvl>
  </w:abstractNum>
  <w:abstractNum w:abstractNumId="8" w15:restartNumberingAfterBreak="0">
    <w:nsid w:val="30BD7A75"/>
    <w:multiLevelType w:val="hybridMultilevel"/>
    <w:tmpl w:val="5F0E34B2"/>
    <w:lvl w:ilvl="0" w:tplc="04090019">
      <w:start w:val="1"/>
      <w:numFmt w:val="lowerLetter"/>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1C04B77"/>
    <w:multiLevelType w:val="multilevel"/>
    <w:tmpl w:val="B0321C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487EA0"/>
    <w:multiLevelType w:val="multilevel"/>
    <w:tmpl w:val="0D62DE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91C3105"/>
    <w:multiLevelType w:val="multilevel"/>
    <w:tmpl w:val="711CBD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4031518E"/>
    <w:multiLevelType w:val="multilevel"/>
    <w:tmpl w:val="403151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3E4180"/>
    <w:multiLevelType w:val="hybridMultilevel"/>
    <w:tmpl w:val="39222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6F6406"/>
    <w:multiLevelType w:val="multilevel"/>
    <w:tmpl w:val="01BCF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E805BBC"/>
    <w:multiLevelType w:val="multilevel"/>
    <w:tmpl w:val="EDDC9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23C5619"/>
    <w:multiLevelType w:val="multilevel"/>
    <w:tmpl w:val="A8A0B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3963F51"/>
    <w:multiLevelType w:val="multilevel"/>
    <w:tmpl w:val="A094BEE6"/>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18" w15:restartNumberingAfterBreak="0">
    <w:nsid w:val="688B787E"/>
    <w:multiLevelType w:val="multilevel"/>
    <w:tmpl w:val="ACE8D7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C573AF"/>
    <w:multiLevelType w:val="multilevel"/>
    <w:tmpl w:val="8FA2CE82"/>
    <w:lvl w:ilvl="0">
      <w:start w:val="1"/>
      <w:numFmt w:val="decimal"/>
      <w:lvlText w:val="%1."/>
      <w:lvlJc w:val="left"/>
      <w:pPr>
        <w:ind w:left="1179" w:hanging="360"/>
      </w:pPr>
    </w:lvl>
    <w:lvl w:ilvl="1">
      <w:start w:val="1"/>
      <w:numFmt w:val="lowerLetter"/>
      <w:lvlText w:val="%2."/>
      <w:lvlJc w:val="left"/>
      <w:pPr>
        <w:ind w:left="1899" w:hanging="360"/>
      </w:pPr>
    </w:lvl>
    <w:lvl w:ilvl="2">
      <w:start w:val="1"/>
      <w:numFmt w:val="lowerRoman"/>
      <w:lvlText w:val="%3."/>
      <w:lvlJc w:val="right"/>
      <w:pPr>
        <w:ind w:left="2619" w:hanging="180"/>
      </w:pPr>
    </w:lvl>
    <w:lvl w:ilvl="3">
      <w:start w:val="1"/>
      <w:numFmt w:val="decimal"/>
      <w:lvlText w:val="%4."/>
      <w:lvlJc w:val="left"/>
      <w:pPr>
        <w:ind w:left="3339" w:hanging="360"/>
      </w:pPr>
    </w:lvl>
    <w:lvl w:ilvl="4">
      <w:start w:val="1"/>
      <w:numFmt w:val="lowerLetter"/>
      <w:lvlText w:val="%5."/>
      <w:lvlJc w:val="left"/>
      <w:pPr>
        <w:ind w:left="4059" w:hanging="360"/>
      </w:pPr>
    </w:lvl>
    <w:lvl w:ilvl="5">
      <w:start w:val="1"/>
      <w:numFmt w:val="lowerRoman"/>
      <w:lvlText w:val="%6."/>
      <w:lvlJc w:val="right"/>
      <w:pPr>
        <w:ind w:left="4779" w:hanging="180"/>
      </w:pPr>
    </w:lvl>
    <w:lvl w:ilvl="6">
      <w:start w:val="1"/>
      <w:numFmt w:val="decimal"/>
      <w:lvlText w:val="%7."/>
      <w:lvlJc w:val="left"/>
      <w:pPr>
        <w:ind w:left="5499" w:hanging="360"/>
      </w:pPr>
    </w:lvl>
    <w:lvl w:ilvl="7">
      <w:start w:val="1"/>
      <w:numFmt w:val="lowerLetter"/>
      <w:lvlText w:val="%8."/>
      <w:lvlJc w:val="left"/>
      <w:pPr>
        <w:ind w:left="6219" w:hanging="360"/>
      </w:pPr>
    </w:lvl>
    <w:lvl w:ilvl="8">
      <w:start w:val="1"/>
      <w:numFmt w:val="lowerRoman"/>
      <w:lvlText w:val="%9."/>
      <w:lvlJc w:val="right"/>
      <w:pPr>
        <w:ind w:left="6939" w:hanging="180"/>
      </w:pPr>
    </w:lvl>
  </w:abstractNum>
  <w:abstractNum w:abstractNumId="20" w15:restartNumberingAfterBreak="0">
    <w:nsid w:val="75840A5D"/>
    <w:multiLevelType w:val="multilevel"/>
    <w:tmpl w:val="93DABD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A3813A6"/>
    <w:multiLevelType w:val="multilevel"/>
    <w:tmpl w:val="113EE9D6"/>
    <w:lvl w:ilvl="0">
      <w:start w:val="1"/>
      <w:numFmt w:val="decimal"/>
      <w:lvlText w:val="%1."/>
      <w:lvlJc w:val="left"/>
      <w:pPr>
        <w:ind w:left="2770" w:hanging="360"/>
      </w:pPr>
      <w:rPr>
        <w:rFonts w:ascii="Calibri" w:eastAsia="Calibri" w:hAnsi="Calibri" w:cs="Calibri"/>
        <w:b/>
        <w:color w:val="164A41"/>
        <w:sz w:val="22"/>
        <w:szCs w:val="22"/>
      </w:rPr>
    </w:lvl>
    <w:lvl w:ilvl="1">
      <w:start w:val="1"/>
      <w:numFmt w:val="decimal"/>
      <w:lvlText w:val="%1.%2."/>
      <w:lvlJc w:val="left"/>
      <w:pPr>
        <w:ind w:left="2770" w:hanging="360"/>
      </w:pPr>
      <w:rPr>
        <w:rFonts w:ascii="Calibri" w:eastAsia="Calibri" w:hAnsi="Calibri" w:cs="Calibri"/>
        <w:i/>
        <w:color w:val="164A41"/>
      </w:rPr>
    </w:lvl>
    <w:lvl w:ilvl="2">
      <w:start w:val="1"/>
      <w:numFmt w:val="decimal"/>
      <w:lvlText w:val="%1.%2.%3."/>
      <w:lvlJc w:val="left"/>
      <w:pPr>
        <w:ind w:left="3130" w:hanging="720"/>
      </w:pPr>
    </w:lvl>
    <w:lvl w:ilvl="3">
      <w:start w:val="1"/>
      <w:numFmt w:val="decimal"/>
      <w:lvlText w:val="%1.%2.%3.%4."/>
      <w:lvlJc w:val="left"/>
      <w:pPr>
        <w:ind w:left="3130" w:hanging="720"/>
      </w:pPr>
    </w:lvl>
    <w:lvl w:ilvl="4">
      <w:start w:val="1"/>
      <w:numFmt w:val="decimal"/>
      <w:lvlText w:val="%1.%2.%3.%4.%5."/>
      <w:lvlJc w:val="left"/>
      <w:pPr>
        <w:ind w:left="3490" w:hanging="1080"/>
      </w:pPr>
    </w:lvl>
    <w:lvl w:ilvl="5">
      <w:start w:val="1"/>
      <w:numFmt w:val="decimal"/>
      <w:lvlText w:val="%1.%2.%3.%4.%5.%6."/>
      <w:lvlJc w:val="left"/>
      <w:pPr>
        <w:ind w:left="3490" w:hanging="1080"/>
      </w:pPr>
    </w:lvl>
    <w:lvl w:ilvl="6">
      <w:start w:val="1"/>
      <w:numFmt w:val="decimal"/>
      <w:lvlText w:val="%1.%2.%3.%4.%5.%6.%7."/>
      <w:lvlJc w:val="left"/>
      <w:pPr>
        <w:ind w:left="3490" w:hanging="1080"/>
      </w:pPr>
    </w:lvl>
    <w:lvl w:ilvl="7">
      <w:start w:val="1"/>
      <w:numFmt w:val="decimal"/>
      <w:lvlText w:val="%1.%2.%3.%4.%5.%6.%7.%8."/>
      <w:lvlJc w:val="left"/>
      <w:pPr>
        <w:ind w:left="3850" w:hanging="1440"/>
      </w:pPr>
    </w:lvl>
    <w:lvl w:ilvl="8">
      <w:start w:val="1"/>
      <w:numFmt w:val="decimal"/>
      <w:lvlText w:val="%1.%2.%3.%4.%5.%6.%7.%8.%9."/>
      <w:lvlJc w:val="left"/>
      <w:pPr>
        <w:ind w:left="3850" w:hanging="1440"/>
      </w:pPr>
    </w:lvl>
  </w:abstractNum>
  <w:abstractNum w:abstractNumId="22" w15:restartNumberingAfterBreak="0">
    <w:nsid w:val="7DAF05AE"/>
    <w:multiLevelType w:val="multilevel"/>
    <w:tmpl w:val="142EA5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E502005"/>
    <w:multiLevelType w:val="multilevel"/>
    <w:tmpl w:val="7E5020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79801510">
    <w:abstractNumId w:val="11"/>
  </w:num>
  <w:num w:numId="2" w16cid:durableId="329674799">
    <w:abstractNumId w:val="20"/>
  </w:num>
  <w:num w:numId="3" w16cid:durableId="1082684778">
    <w:abstractNumId w:val="9"/>
  </w:num>
  <w:num w:numId="4" w16cid:durableId="1232619443">
    <w:abstractNumId w:val="2"/>
  </w:num>
  <w:num w:numId="5" w16cid:durableId="2060401005">
    <w:abstractNumId w:val="0"/>
  </w:num>
  <w:num w:numId="6" w16cid:durableId="1735860058">
    <w:abstractNumId w:val="16"/>
  </w:num>
  <w:num w:numId="7" w16cid:durableId="338581226">
    <w:abstractNumId w:val="15"/>
  </w:num>
  <w:num w:numId="8" w16cid:durableId="1335568372">
    <w:abstractNumId w:val="19"/>
  </w:num>
  <w:num w:numId="9" w16cid:durableId="1103570231">
    <w:abstractNumId w:val="7"/>
  </w:num>
  <w:num w:numId="10" w16cid:durableId="1879971982">
    <w:abstractNumId w:val="17"/>
  </w:num>
  <w:num w:numId="11" w16cid:durableId="2088766645">
    <w:abstractNumId w:val="1"/>
  </w:num>
  <w:num w:numId="12" w16cid:durableId="565192109">
    <w:abstractNumId w:val="5"/>
  </w:num>
  <w:num w:numId="13" w16cid:durableId="736585108">
    <w:abstractNumId w:val="21"/>
  </w:num>
  <w:num w:numId="14" w16cid:durableId="1601841069">
    <w:abstractNumId w:val="4"/>
  </w:num>
  <w:num w:numId="15" w16cid:durableId="1894808241">
    <w:abstractNumId w:val="3"/>
  </w:num>
  <w:num w:numId="16" w16cid:durableId="181092615">
    <w:abstractNumId w:val="10"/>
  </w:num>
  <w:num w:numId="17" w16cid:durableId="565839136">
    <w:abstractNumId w:val="14"/>
  </w:num>
  <w:num w:numId="18" w16cid:durableId="2133009653">
    <w:abstractNumId w:val="22"/>
  </w:num>
  <w:num w:numId="19" w16cid:durableId="1004473426">
    <w:abstractNumId w:val="18"/>
  </w:num>
  <w:num w:numId="20" w16cid:durableId="1148477145">
    <w:abstractNumId w:val="6"/>
  </w:num>
  <w:num w:numId="21" w16cid:durableId="790589271">
    <w:abstractNumId w:val="8"/>
  </w:num>
  <w:num w:numId="22" w16cid:durableId="1140656018">
    <w:abstractNumId w:val="23"/>
  </w:num>
  <w:num w:numId="23" w16cid:durableId="629364283">
    <w:abstractNumId w:val="13"/>
  </w:num>
  <w:num w:numId="24" w16cid:durableId="154055667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99A"/>
    <w:rsid w:val="00072F8D"/>
    <w:rsid w:val="001009CF"/>
    <w:rsid w:val="00166834"/>
    <w:rsid w:val="001C2B49"/>
    <w:rsid w:val="00253DB1"/>
    <w:rsid w:val="003B5046"/>
    <w:rsid w:val="00465E8B"/>
    <w:rsid w:val="00476590"/>
    <w:rsid w:val="00565AF2"/>
    <w:rsid w:val="006B05FD"/>
    <w:rsid w:val="006D055D"/>
    <w:rsid w:val="007F6372"/>
    <w:rsid w:val="00921F4F"/>
    <w:rsid w:val="009C0A15"/>
    <w:rsid w:val="009C4572"/>
    <w:rsid w:val="009D5DAC"/>
    <w:rsid w:val="009F6828"/>
    <w:rsid w:val="00A2226F"/>
    <w:rsid w:val="00A82E78"/>
    <w:rsid w:val="00A93028"/>
    <w:rsid w:val="00A97DCC"/>
    <w:rsid w:val="00AC4243"/>
    <w:rsid w:val="00AE3F67"/>
    <w:rsid w:val="00B0214E"/>
    <w:rsid w:val="00B3153C"/>
    <w:rsid w:val="00B400FD"/>
    <w:rsid w:val="00B43BB9"/>
    <w:rsid w:val="00B51571"/>
    <w:rsid w:val="00BE4912"/>
    <w:rsid w:val="00BF3313"/>
    <w:rsid w:val="00CF6835"/>
    <w:rsid w:val="00D42413"/>
    <w:rsid w:val="00D77D84"/>
    <w:rsid w:val="00EC099A"/>
    <w:rsid w:val="00F14D56"/>
    <w:rsid w:val="00F20299"/>
    <w:rsid w:val="00F41DEB"/>
    <w:rsid w:val="00F8014B"/>
    <w:rsid w:val="00FA7F8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785BC"/>
  <w15:docId w15:val="{7D557581-6BDB-48C4-9A9F-23F9664F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704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FE"/>
  </w:style>
  <w:style w:type="paragraph" w:styleId="Footer">
    <w:name w:val="footer"/>
    <w:basedOn w:val="Normal"/>
    <w:link w:val="FooterChar"/>
    <w:uiPriority w:val="99"/>
    <w:unhideWhenUsed/>
    <w:rsid w:val="00A704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FE"/>
  </w:style>
  <w:style w:type="character" w:styleId="Hyperlink">
    <w:name w:val="Hyperlink"/>
    <w:basedOn w:val="DefaultParagraphFont"/>
    <w:uiPriority w:val="99"/>
    <w:unhideWhenUsed/>
    <w:rsid w:val="00A704FE"/>
    <w:rPr>
      <w:color w:val="0563C1" w:themeColor="hyperlink"/>
      <w:u w:val="single"/>
    </w:rPr>
  </w:style>
  <w:style w:type="character" w:customStyle="1" w:styleId="UnresolvedMention1">
    <w:name w:val="Unresolved Mention1"/>
    <w:basedOn w:val="DefaultParagraphFont"/>
    <w:uiPriority w:val="99"/>
    <w:semiHidden/>
    <w:unhideWhenUsed/>
    <w:rsid w:val="00A704FE"/>
    <w:rPr>
      <w:color w:val="605E5C"/>
      <w:shd w:val="clear" w:color="auto" w:fill="E1DFDD"/>
    </w:rPr>
  </w:style>
  <w:style w:type="paragraph" w:styleId="ListParagraph">
    <w:name w:val="List Paragraph"/>
    <w:aliases w:val="Body of text"/>
    <w:basedOn w:val="Normal"/>
    <w:link w:val="ListParagraphChar"/>
    <w:uiPriority w:val="34"/>
    <w:qFormat/>
    <w:rsid w:val="00A704FE"/>
    <w:pPr>
      <w:ind w:left="720"/>
      <w:contextualSpacing/>
    </w:pPr>
  </w:style>
  <w:style w:type="table" w:styleId="TableGrid">
    <w:name w:val="Table Grid"/>
    <w:basedOn w:val="TableNormal"/>
    <w:uiPriority w:val="59"/>
    <w:rsid w:val="002348C7"/>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basedOn w:val="DefaultParagraphFont"/>
    <w:link w:val="ListParagraph"/>
    <w:qFormat/>
    <w:locked/>
    <w:rsid w:val="008B6F3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FootnoteText">
    <w:name w:val="footnote text"/>
    <w:basedOn w:val="Normal"/>
    <w:link w:val="FootnoteTextChar"/>
    <w:uiPriority w:val="99"/>
    <w:unhideWhenUsed/>
    <w:qFormat/>
    <w:rsid w:val="00BE4912"/>
    <w:pPr>
      <w:spacing w:after="0" w:line="240" w:lineRule="auto"/>
    </w:pPr>
    <w:rPr>
      <w:rFonts w:asciiTheme="minorHAnsi" w:eastAsiaTheme="minorEastAsia" w:hAnsiTheme="minorHAnsi" w:cstheme="minorBidi"/>
      <w:sz w:val="20"/>
      <w:szCs w:val="20"/>
      <w:lang w:eastAsia="en-US"/>
    </w:rPr>
  </w:style>
  <w:style w:type="character" w:customStyle="1" w:styleId="FootnoteTextChar">
    <w:name w:val="Footnote Text Char"/>
    <w:basedOn w:val="DefaultParagraphFont"/>
    <w:link w:val="FootnoteText"/>
    <w:uiPriority w:val="99"/>
    <w:rsid w:val="00BE4912"/>
    <w:rPr>
      <w:rFonts w:asciiTheme="minorHAnsi" w:eastAsiaTheme="minorEastAsia" w:hAnsiTheme="minorHAnsi" w:cstheme="minorBidi"/>
      <w:sz w:val="20"/>
      <w:szCs w:val="20"/>
      <w:lang w:eastAsia="en-US"/>
    </w:rPr>
  </w:style>
  <w:style w:type="character" w:styleId="FootnoteReference">
    <w:name w:val="footnote reference"/>
    <w:basedOn w:val="DefaultParagraphFont"/>
    <w:uiPriority w:val="99"/>
    <w:semiHidden/>
    <w:unhideWhenUsed/>
    <w:rsid w:val="00BE4912"/>
    <w:rPr>
      <w:vertAlign w:val="superscript"/>
    </w:rPr>
  </w:style>
  <w:style w:type="character" w:styleId="Emphasis">
    <w:name w:val="Emphasis"/>
    <w:basedOn w:val="DefaultParagraphFont"/>
    <w:uiPriority w:val="20"/>
    <w:qFormat/>
    <w:rsid w:val="00FA7F86"/>
    <w:rPr>
      <w:i/>
      <w:iCs/>
    </w:rPr>
  </w:style>
  <w:style w:type="paragraph" w:styleId="NormalWeb">
    <w:name w:val="Normal (Web)"/>
    <w:basedOn w:val="Normal"/>
    <w:uiPriority w:val="99"/>
    <w:unhideWhenUsed/>
    <w:rsid w:val="00FA7F86"/>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styleId="PageNumber">
    <w:name w:val="page number"/>
    <w:basedOn w:val="DefaultParagraphFont"/>
    <w:uiPriority w:val="99"/>
    <w:semiHidden/>
    <w:unhideWhenUsed/>
    <w:rsid w:val="00B021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liyasfhunisan@gmail.com" TargetMode="External"/><Relationship Id="rId18" Type="http://schemas.openxmlformats.org/officeDocument/2006/relationships/hyperlink" Target="https://ppid.papua.go.id/%22&amp;quothttps:/mahkamahagung.go.id/media/8757%22/%22"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xxxxxxx@gmail.com" TargetMode="External"/><Relationship Id="rId17" Type="http://schemas.openxmlformats.org/officeDocument/2006/relationships/hyperlink" Target="https://ppid.papua.go.id/%22&amp;quothttps:/perpustakaan.mahkamahagung.go.id/assets/resource/ebook/36.pdf%22/%22" TargetMode="External"/><Relationship Id="rId2" Type="http://schemas.openxmlformats.org/officeDocument/2006/relationships/customXml" Target="../customXml/item2.xml"/><Relationship Id="rId16" Type="http://schemas.openxmlformats.org/officeDocument/2006/relationships/hyperlink" Target="mailto:xxxxxxxx@gmail.com" TargetMode="External"/><Relationship Id="rId20" Type="http://schemas.openxmlformats.org/officeDocument/2006/relationships/hyperlink" Target="https://ppid.papua.go.id/%22&amp;quothttps:/pkpajakarta.com/mediator-tersertifikasi-profesi-juru-damai-yang-penting/%22/%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9.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xxxxxxxx@gmail.com"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ppid.papua.go.id/%22&amp;quothttps:/simdos.unud.ac.id/uploads/file_pendidikan_dir/f3a5453d682ed652293ea714d7cbebb3.pdf%22/%22"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xxxxxxx@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BuB8Ywbopz2lP1I9hnrDGVVGHw==">AMUW2mX4p4Iu+dXGMLJyM+GVURiYEY4aLbeY8mGDE7EEhPGjE8cc0twF7fyBmgfVFHa5y262OEthWmRagk0U3XEJ6J4o2v2iqE3hHwP+ffxZah7KqQi0VbE=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57DFF1-5AE2-6647-8DD1-E3EA20319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4251</Words>
  <Characters>27505</Characters>
  <Application>Microsoft Office Word</Application>
  <DocSecurity>0</DocSecurity>
  <Lines>443</Lines>
  <Paragraphs>130</Paragraphs>
  <ScaleCrop>false</ScaleCrop>
  <HeadingPairs>
    <vt:vector size="2" baseType="variant">
      <vt:variant>
        <vt:lpstr>Judul</vt:lpstr>
      </vt:variant>
      <vt:variant>
        <vt:i4>1</vt:i4>
      </vt:variant>
    </vt:vector>
  </HeadingPairs>
  <TitlesOfParts>
    <vt:vector size="1" baseType="lpstr">
      <vt:lpstr/>
    </vt:vector>
  </TitlesOfParts>
  <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Aditya Halim Putra</dc:creator>
  <cp:lastModifiedBy>Umar P</cp:lastModifiedBy>
  <cp:revision>12</cp:revision>
  <dcterms:created xsi:type="dcterms:W3CDTF">2024-07-08T05:39:00Z</dcterms:created>
  <dcterms:modified xsi:type="dcterms:W3CDTF">2024-10-27T10:31:00Z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04468c86e0ceb6cc8fcf994606486d2049a4a8812cf0d0431b74b7d7ff296ab6</vt:lpwstr>
  </property>
</Properties>
</file>